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42" w:rsidRPr="003E0347" w:rsidRDefault="00521472" w:rsidP="00E84413">
      <w:pPr>
        <w:tabs>
          <w:tab w:val="left" w:pos="0"/>
        </w:tabs>
        <w:spacing w:after="0"/>
        <w:ind w:firstLine="360"/>
        <w:jc w:val="both"/>
        <w:rPr>
          <w:rFonts w:ascii="Tahoma" w:hAnsi="Tahoma" w:cs="Tahoma"/>
          <w:sz w:val="40"/>
          <w:szCs w:val="40"/>
        </w:rPr>
      </w:pPr>
      <w:bookmarkStart w:id="0" w:name="_GoBack"/>
      <w:bookmarkEnd w:id="0"/>
      <w:r w:rsidRPr="003E0347">
        <w:rPr>
          <w:rFonts w:ascii="Tahoma" w:hAnsi="Tahoma" w:cs="Tahoma"/>
          <w:sz w:val="40"/>
          <w:szCs w:val="40"/>
        </w:rPr>
        <w:t>Waco Metro Area Economic Outlook for 2016</w:t>
      </w:r>
    </w:p>
    <w:p w:rsidR="00521472" w:rsidRPr="00120C7F" w:rsidRDefault="00521472" w:rsidP="00DD5334">
      <w:pPr>
        <w:tabs>
          <w:tab w:val="left" w:pos="0"/>
        </w:tabs>
        <w:spacing w:after="0"/>
        <w:ind w:firstLine="360"/>
        <w:jc w:val="center"/>
        <w:rPr>
          <w:rFonts w:ascii="Tahoma" w:hAnsi="Tahoma" w:cs="Tahoma"/>
        </w:rPr>
      </w:pPr>
      <w:r w:rsidRPr="00120C7F">
        <w:rPr>
          <w:rFonts w:ascii="Tahoma" w:hAnsi="Tahoma" w:cs="Tahoma"/>
        </w:rPr>
        <w:t>by</w:t>
      </w:r>
    </w:p>
    <w:p w:rsidR="00521472" w:rsidRPr="00120C7F" w:rsidRDefault="00521472" w:rsidP="005731A9">
      <w:pPr>
        <w:tabs>
          <w:tab w:val="left" w:pos="0"/>
          <w:tab w:val="left" w:pos="9450"/>
        </w:tabs>
        <w:spacing w:after="0"/>
        <w:ind w:firstLine="360"/>
        <w:jc w:val="center"/>
        <w:rPr>
          <w:rFonts w:ascii="Tahoma" w:hAnsi="Tahoma" w:cs="Tahoma"/>
        </w:rPr>
      </w:pPr>
      <w:r w:rsidRPr="00120C7F">
        <w:rPr>
          <w:rFonts w:ascii="Tahoma" w:hAnsi="Tahoma" w:cs="Tahoma"/>
        </w:rPr>
        <w:t>Tom Kelly, Director</w:t>
      </w:r>
    </w:p>
    <w:p w:rsidR="003E0347" w:rsidRPr="00120C7F" w:rsidRDefault="00521472" w:rsidP="00DD5334">
      <w:pPr>
        <w:tabs>
          <w:tab w:val="left" w:pos="0"/>
        </w:tabs>
        <w:spacing w:after="0"/>
        <w:ind w:firstLine="360"/>
        <w:jc w:val="center"/>
        <w:rPr>
          <w:rFonts w:ascii="Tahoma" w:hAnsi="Tahoma" w:cs="Tahoma"/>
        </w:rPr>
        <w:sectPr w:rsidR="003E0347" w:rsidRPr="00120C7F" w:rsidSect="009618EF">
          <w:footerReference w:type="default" r:id="rId9"/>
          <w:pgSz w:w="12240" w:h="15840"/>
          <w:pgMar w:top="1440" w:right="1440" w:bottom="1440" w:left="1800" w:header="720" w:footer="720" w:gutter="0"/>
          <w:cols w:space="720"/>
          <w:docGrid w:linePitch="360"/>
        </w:sectPr>
      </w:pPr>
      <w:r w:rsidRPr="00120C7F">
        <w:rPr>
          <w:rFonts w:ascii="Tahoma" w:hAnsi="Tahoma" w:cs="Tahoma"/>
        </w:rPr>
        <w:t>Baylor Center for Business and Economic Research</w:t>
      </w:r>
    </w:p>
    <w:p w:rsidR="00521472" w:rsidRPr="00120C7F" w:rsidRDefault="00521472" w:rsidP="00DD5334">
      <w:pPr>
        <w:tabs>
          <w:tab w:val="left" w:pos="0"/>
        </w:tabs>
        <w:spacing w:after="0"/>
        <w:ind w:firstLine="360"/>
        <w:jc w:val="center"/>
        <w:rPr>
          <w:rFonts w:cstheme="minorHAnsi"/>
        </w:rPr>
      </w:pPr>
    </w:p>
    <w:p w:rsidR="00A87080" w:rsidRPr="00120C7F" w:rsidRDefault="00A87080" w:rsidP="00DD5334">
      <w:pPr>
        <w:shd w:val="clear" w:color="auto" w:fill="FFFFFF"/>
        <w:tabs>
          <w:tab w:val="left" w:pos="360"/>
        </w:tabs>
        <w:spacing w:after="0"/>
        <w:ind w:left="360" w:right="144"/>
        <w:jc w:val="both"/>
        <w:rPr>
          <w:rFonts w:eastAsia="Times New Roman" w:cstheme="minorHAnsi"/>
          <w:color w:val="333333"/>
        </w:rPr>
        <w:sectPr w:rsidR="00A87080" w:rsidRPr="00120C7F" w:rsidSect="003E0347">
          <w:type w:val="continuous"/>
          <w:pgSz w:w="12240" w:h="15840"/>
          <w:pgMar w:top="1440" w:right="1440" w:bottom="1440" w:left="1800" w:header="720" w:footer="720" w:gutter="0"/>
          <w:cols w:space="720"/>
          <w:docGrid w:linePitch="360"/>
        </w:sectPr>
      </w:pPr>
    </w:p>
    <w:p w:rsidR="00D6105A" w:rsidRPr="00120C7F" w:rsidRDefault="00D3077F" w:rsidP="00DE0EF5">
      <w:pPr>
        <w:shd w:val="clear" w:color="auto" w:fill="FFFFFF"/>
        <w:tabs>
          <w:tab w:val="left" w:pos="540"/>
        </w:tabs>
        <w:spacing w:after="0"/>
        <w:jc w:val="both"/>
        <w:rPr>
          <w:rFonts w:ascii="Tahoma" w:eastAsia="Times New Roman" w:hAnsi="Tahoma" w:cs="Tahoma"/>
          <w:color w:val="333333"/>
        </w:rPr>
      </w:pPr>
      <w:r w:rsidRPr="00120C7F">
        <w:rPr>
          <w:rFonts w:eastAsia="Times New Roman" w:cstheme="minorHAnsi"/>
          <w:color w:val="333333"/>
        </w:rPr>
        <w:lastRenderedPageBreak/>
        <w:tab/>
      </w:r>
      <w:r w:rsidR="00AA4321" w:rsidRPr="00120C7F">
        <w:rPr>
          <w:rFonts w:ascii="Tahoma" w:eastAsia="Times New Roman" w:hAnsi="Tahoma" w:cs="Tahoma"/>
          <w:color w:val="333333"/>
        </w:rPr>
        <w:t>Waco is one of 381 Metropolitan Statistical Areas (</w:t>
      </w:r>
      <w:hyperlink r:id="rId10" w:tooltip="MSA definitions" w:history="1">
        <w:r w:rsidR="00AA4321" w:rsidRPr="00120C7F">
          <w:rPr>
            <w:rFonts w:ascii="Tahoma" w:eastAsia="Times New Roman" w:hAnsi="Tahoma" w:cs="Tahoma"/>
            <w:color w:val="00267F"/>
          </w:rPr>
          <w:t>MSAs</w:t>
        </w:r>
      </w:hyperlink>
      <w:r w:rsidR="00AA4321" w:rsidRPr="00120C7F">
        <w:rPr>
          <w:rFonts w:ascii="Tahoma" w:eastAsia="Times New Roman" w:hAnsi="Tahoma" w:cs="Tahoma"/>
          <w:color w:val="333333"/>
        </w:rPr>
        <w:t xml:space="preserve">) in the nation. </w:t>
      </w:r>
      <w:r w:rsidR="00A87080" w:rsidRPr="00120C7F">
        <w:rPr>
          <w:rFonts w:ascii="Tahoma" w:eastAsia="Times New Roman" w:hAnsi="Tahoma" w:cs="Tahoma"/>
          <w:color w:val="333333"/>
        </w:rPr>
        <w:t>In 2013 Falls County was added to McLe</w:t>
      </w:r>
      <w:r w:rsidR="00A87080" w:rsidRPr="00120C7F">
        <w:rPr>
          <w:rFonts w:ascii="Tahoma" w:eastAsia="Times New Roman" w:hAnsi="Tahoma" w:cs="Tahoma"/>
          <w:color w:val="333333"/>
        </w:rPr>
        <w:t>n</w:t>
      </w:r>
      <w:r w:rsidR="00A87080" w:rsidRPr="00120C7F">
        <w:rPr>
          <w:rFonts w:ascii="Tahoma" w:eastAsia="Times New Roman" w:hAnsi="Tahoma" w:cs="Tahoma"/>
          <w:color w:val="333333"/>
        </w:rPr>
        <w:t xml:space="preserve">nan County for a combined </w:t>
      </w:r>
      <w:hyperlink r:id="rId11" w:tooltip="definition of population" w:history="1">
        <w:r w:rsidR="00AA4321" w:rsidRPr="00120C7F">
          <w:rPr>
            <w:rFonts w:ascii="Tahoma" w:eastAsia="Times New Roman" w:hAnsi="Tahoma" w:cs="Tahoma"/>
          </w:rPr>
          <w:t>population</w:t>
        </w:r>
      </w:hyperlink>
      <w:r w:rsidR="00AA4321" w:rsidRPr="00120C7F">
        <w:rPr>
          <w:rFonts w:ascii="Tahoma" w:eastAsia="Times New Roman" w:hAnsi="Tahoma" w:cs="Tahoma"/>
        </w:rPr>
        <w:t xml:space="preserve"> </w:t>
      </w:r>
      <w:r w:rsidR="00AA4321" w:rsidRPr="00120C7F">
        <w:rPr>
          <w:rFonts w:ascii="Tahoma" w:eastAsia="Times New Roman" w:hAnsi="Tahoma" w:cs="Tahoma"/>
          <w:color w:val="333333"/>
        </w:rPr>
        <w:t xml:space="preserve">of 258,974 </w:t>
      </w:r>
      <w:r w:rsidR="00A87080" w:rsidRPr="00120C7F">
        <w:rPr>
          <w:rFonts w:ascii="Tahoma" w:eastAsia="Times New Roman" w:hAnsi="Tahoma" w:cs="Tahoma"/>
          <w:color w:val="333333"/>
        </w:rPr>
        <w:t xml:space="preserve">persons </w:t>
      </w:r>
      <w:r w:rsidRPr="00120C7F">
        <w:rPr>
          <w:rFonts w:ascii="Tahoma" w:eastAsia="Times New Roman" w:hAnsi="Tahoma" w:cs="Tahoma"/>
          <w:color w:val="333333"/>
        </w:rPr>
        <w:t xml:space="preserve">that </w:t>
      </w:r>
      <w:r w:rsidR="00AA4321" w:rsidRPr="00120C7F">
        <w:rPr>
          <w:rFonts w:ascii="Tahoma" w:eastAsia="Times New Roman" w:hAnsi="Tahoma" w:cs="Tahoma"/>
          <w:color w:val="333333"/>
        </w:rPr>
        <w:t xml:space="preserve">ranked 180th in the nation. </w:t>
      </w:r>
      <w:r w:rsidRPr="00120C7F">
        <w:rPr>
          <w:rFonts w:ascii="Tahoma" w:eastAsia="Times New Roman" w:hAnsi="Tahoma" w:cs="Tahoma"/>
          <w:color w:val="333333"/>
        </w:rPr>
        <w:t xml:space="preserve"> In 2013, Waco</w:t>
      </w:r>
      <w:r w:rsidR="00A52E4D">
        <w:rPr>
          <w:rFonts w:ascii="Tahoma" w:eastAsia="Times New Roman" w:hAnsi="Tahoma" w:cs="Tahoma"/>
          <w:color w:val="333333"/>
        </w:rPr>
        <w:t>’s average</w:t>
      </w:r>
      <w:r w:rsidRPr="00120C7F">
        <w:rPr>
          <w:rFonts w:ascii="Tahoma" w:eastAsia="Times New Roman" w:hAnsi="Tahoma" w:cs="Tahoma"/>
          <w:color w:val="333333"/>
        </w:rPr>
        <w:t xml:space="preserve"> per capita personal income (</w:t>
      </w:r>
      <w:hyperlink r:id="rId12" w:tooltip="definition of PCPI" w:history="1">
        <w:r w:rsidRPr="00120C7F">
          <w:rPr>
            <w:rFonts w:ascii="Tahoma" w:eastAsia="Times New Roman" w:hAnsi="Tahoma" w:cs="Tahoma"/>
            <w:color w:val="00267F"/>
          </w:rPr>
          <w:t>PCPI</w:t>
        </w:r>
      </w:hyperlink>
      <w:r w:rsidRPr="00120C7F">
        <w:rPr>
          <w:rFonts w:ascii="Tahoma" w:eastAsia="Times New Roman" w:hAnsi="Tahoma" w:cs="Tahoma"/>
          <w:color w:val="333333"/>
        </w:rPr>
        <w:t xml:space="preserve">) </w:t>
      </w:r>
      <w:r w:rsidR="00A52E4D">
        <w:rPr>
          <w:rFonts w:ascii="Tahoma" w:eastAsia="Times New Roman" w:hAnsi="Tahoma" w:cs="Tahoma"/>
          <w:color w:val="333333"/>
        </w:rPr>
        <w:t>of</w:t>
      </w:r>
      <w:r w:rsidRPr="00120C7F">
        <w:rPr>
          <w:rFonts w:ascii="Tahoma" w:eastAsia="Times New Roman" w:hAnsi="Tahoma" w:cs="Tahoma"/>
          <w:color w:val="333333"/>
        </w:rPr>
        <w:t xml:space="preserve"> $35,922 (reported in November 2014 by the U.S. Bureau of Economic Analysis.) ranked 284th in the United States and </w:t>
      </w:r>
      <w:r w:rsidR="00276E70" w:rsidRPr="00120C7F">
        <w:rPr>
          <w:rFonts w:ascii="Tahoma" w:eastAsia="Times New Roman" w:hAnsi="Tahoma" w:cs="Tahoma"/>
          <w:color w:val="333333"/>
        </w:rPr>
        <w:t>amounted to</w:t>
      </w:r>
      <w:r w:rsidRPr="00120C7F">
        <w:rPr>
          <w:rFonts w:ascii="Tahoma" w:eastAsia="Times New Roman" w:hAnsi="Tahoma" w:cs="Tahoma"/>
          <w:color w:val="333333"/>
        </w:rPr>
        <w:t xml:space="preserve"> 80 percent of the national average</w:t>
      </w:r>
      <w:r w:rsidR="00276E70" w:rsidRPr="00120C7F">
        <w:rPr>
          <w:rFonts w:ascii="Tahoma" w:eastAsia="Times New Roman" w:hAnsi="Tahoma" w:cs="Tahoma"/>
          <w:color w:val="333333"/>
        </w:rPr>
        <w:t xml:space="preserve"> of</w:t>
      </w:r>
      <w:r w:rsidRPr="00120C7F">
        <w:rPr>
          <w:rFonts w:ascii="Tahoma" w:eastAsia="Times New Roman" w:hAnsi="Tahoma" w:cs="Tahoma"/>
          <w:color w:val="333333"/>
        </w:rPr>
        <w:t xml:space="preserve"> $44,765.</w:t>
      </w:r>
      <w:r w:rsidR="003E0347" w:rsidRPr="00120C7F">
        <w:rPr>
          <w:rFonts w:ascii="Tahoma" w:eastAsia="Times New Roman" w:hAnsi="Tahoma" w:cs="Tahoma"/>
          <w:color w:val="333333"/>
        </w:rPr>
        <w:t xml:space="preserve"> </w:t>
      </w:r>
      <w:r w:rsidRPr="00120C7F">
        <w:rPr>
          <w:rFonts w:ascii="Tahoma" w:eastAsia="Times New Roman" w:hAnsi="Tahoma" w:cs="Tahoma"/>
          <w:color w:val="333333"/>
        </w:rPr>
        <w:t xml:space="preserve"> </w:t>
      </w:r>
      <w:r w:rsidR="00276E70" w:rsidRPr="00120C7F">
        <w:rPr>
          <w:rFonts w:ascii="Tahoma" w:eastAsia="Times New Roman" w:hAnsi="Tahoma" w:cs="Tahoma"/>
          <w:color w:val="333333"/>
        </w:rPr>
        <w:t xml:space="preserve">Over the ten-year period from </w:t>
      </w:r>
      <w:r w:rsidRPr="00120C7F">
        <w:rPr>
          <w:rFonts w:ascii="Tahoma" w:eastAsia="Times New Roman" w:hAnsi="Tahoma" w:cs="Tahoma"/>
          <w:color w:val="333333"/>
        </w:rPr>
        <w:t xml:space="preserve">2003-2013 </w:t>
      </w:r>
      <w:r w:rsidR="004564BF">
        <w:rPr>
          <w:rFonts w:ascii="Tahoma" w:eastAsia="Times New Roman" w:hAnsi="Tahoma" w:cs="Tahoma"/>
          <w:color w:val="333333"/>
        </w:rPr>
        <w:t xml:space="preserve">the gap </w:t>
      </w:r>
      <w:r w:rsidR="004564BF" w:rsidRPr="00120C7F">
        <w:rPr>
          <w:rFonts w:ascii="Tahoma" w:eastAsia="Times New Roman" w:hAnsi="Tahoma" w:cs="Tahoma"/>
          <w:color w:val="333333"/>
        </w:rPr>
        <w:t>na</w:t>
      </w:r>
      <w:r w:rsidR="004564BF" w:rsidRPr="00120C7F">
        <w:rPr>
          <w:rFonts w:ascii="Tahoma" w:eastAsia="Times New Roman" w:hAnsi="Tahoma" w:cs="Tahoma"/>
          <w:color w:val="333333"/>
        </w:rPr>
        <w:t>r</w:t>
      </w:r>
      <w:r w:rsidR="004564BF" w:rsidRPr="00120C7F">
        <w:rPr>
          <w:rFonts w:ascii="Tahoma" w:eastAsia="Times New Roman" w:hAnsi="Tahoma" w:cs="Tahoma"/>
          <w:color w:val="333333"/>
        </w:rPr>
        <w:t>rowed</w:t>
      </w:r>
      <w:r w:rsidR="004564BF">
        <w:rPr>
          <w:rFonts w:ascii="Tahoma" w:eastAsia="Times New Roman" w:hAnsi="Tahoma" w:cs="Tahoma"/>
          <w:color w:val="333333"/>
        </w:rPr>
        <w:t xml:space="preserve"> between</w:t>
      </w:r>
      <w:r w:rsidR="00276E70" w:rsidRPr="00120C7F">
        <w:rPr>
          <w:rFonts w:ascii="Tahoma" w:eastAsia="Times New Roman" w:hAnsi="Tahoma" w:cs="Tahoma"/>
          <w:color w:val="333333"/>
        </w:rPr>
        <w:t xml:space="preserve"> </w:t>
      </w:r>
      <w:r w:rsidR="004564BF">
        <w:rPr>
          <w:rFonts w:ascii="Tahoma" w:eastAsia="Times New Roman" w:hAnsi="Tahoma" w:cs="Tahoma"/>
          <w:color w:val="333333"/>
        </w:rPr>
        <w:t>Waco’s</w:t>
      </w:r>
      <w:r w:rsidR="00A52E4D">
        <w:rPr>
          <w:rFonts w:ascii="Tahoma" w:eastAsia="Times New Roman" w:hAnsi="Tahoma" w:cs="Tahoma"/>
          <w:color w:val="333333"/>
        </w:rPr>
        <w:t xml:space="preserve"> average</w:t>
      </w:r>
      <w:r w:rsidR="004564BF">
        <w:rPr>
          <w:rFonts w:ascii="Tahoma" w:eastAsia="Times New Roman" w:hAnsi="Tahoma" w:cs="Tahoma"/>
          <w:color w:val="333333"/>
        </w:rPr>
        <w:t xml:space="preserve"> personal income per capita and the average of all U.S. metro areas with</w:t>
      </w:r>
      <w:r w:rsidR="00276E70" w:rsidRPr="00120C7F">
        <w:rPr>
          <w:rFonts w:ascii="Tahoma" w:eastAsia="Times New Roman" w:hAnsi="Tahoma" w:cs="Tahoma"/>
          <w:color w:val="333333"/>
        </w:rPr>
        <w:t xml:space="preserve"> a</w:t>
      </w:r>
      <w:r w:rsidR="004564BF">
        <w:rPr>
          <w:rFonts w:ascii="Tahoma" w:eastAsia="Times New Roman" w:hAnsi="Tahoma" w:cs="Tahoma"/>
          <w:color w:val="333333"/>
        </w:rPr>
        <w:t>n average</w:t>
      </w:r>
      <w:r w:rsidR="00276E70" w:rsidRPr="00120C7F">
        <w:rPr>
          <w:rFonts w:ascii="Tahoma" w:eastAsia="Times New Roman" w:hAnsi="Tahoma" w:cs="Tahoma"/>
          <w:color w:val="333333"/>
        </w:rPr>
        <w:t xml:space="preserve"> </w:t>
      </w:r>
      <w:r w:rsidRPr="00120C7F">
        <w:rPr>
          <w:rFonts w:ascii="Tahoma" w:eastAsia="Times New Roman" w:hAnsi="Tahoma" w:cs="Tahoma"/>
          <w:color w:val="333333"/>
        </w:rPr>
        <w:t>annual growth rate</w:t>
      </w:r>
      <w:r w:rsidR="00A52E4D">
        <w:rPr>
          <w:rFonts w:ascii="Tahoma" w:eastAsia="Times New Roman" w:hAnsi="Tahoma" w:cs="Tahoma"/>
          <w:color w:val="333333"/>
        </w:rPr>
        <w:t xml:space="preserve"> locally</w:t>
      </w:r>
      <w:r w:rsidRPr="00120C7F">
        <w:rPr>
          <w:rFonts w:ascii="Tahoma" w:eastAsia="Times New Roman" w:hAnsi="Tahoma" w:cs="Tahoma"/>
          <w:color w:val="333333"/>
        </w:rPr>
        <w:t xml:space="preserve"> </w:t>
      </w:r>
      <w:r w:rsidR="00276E70" w:rsidRPr="00120C7F">
        <w:rPr>
          <w:rFonts w:ascii="Tahoma" w:eastAsia="Times New Roman" w:hAnsi="Tahoma" w:cs="Tahoma"/>
          <w:color w:val="333333"/>
        </w:rPr>
        <w:t>of</w:t>
      </w:r>
      <w:r w:rsidR="005731A9" w:rsidRPr="00120C7F">
        <w:rPr>
          <w:rFonts w:ascii="Tahoma" w:eastAsia="Times New Roman" w:hAnsi="Tahoma" w:cs="Tahoma"/>
          <w:color w:val="333333"/>
        </w:rPr>
        <w:t xml:space="preserve"> 3.6%</w:t>
      </w:r>
      <w:r w:rsidR="004564BF">
        <w:rPr>
          <w:rFonts w:ascii="Tahoma" w:eastAsia="Times New Roman" w:hAnsi="Tahoma" w:cs="Tahoma"/>
          <w:color w:val="333333"/>
        </w:rPr>
        <w:t xml:space="preserve"> </w:t>
      </w:r>
      <w:r w:rsidR="00276E70" w:rsidRPr="00120C7F">
        <w:rPr>
          <w:rFonts w:ascii="Tahoma" w:eastAsia="Times New Roman" w:hAnsi="Tahoma" w:cs="Tahoma"/>
          <w:color w:val="333333"/>
        </w:rPr>
        <w:t>com</w:t>
      </w:r>
      <w:r w:rsidR="004564BF">
        <w:rPr>
          <w:rFonts w:ascii="Tahoma" w:eastAsia="Times New Roman" w:hAnsi="Tahoma" w:cs="Tahoma"/>
          <w:color w:val="333333"/>
        </w:rPr>
        <w:t xml:space="preserve">pared to </w:t>
      </w:r>
      <w:r w:rsidR="00A52E4D">
        <w:rPr>
          <w:rFonts w:ascii="Tahoma" w:eastAsia="Times New Roman" w:hAnsi="Tahoma" w:cs="Tahoma"/>
          <w:color w:val="333333"/>
        </w:rPr>
        <w:t xml:space="preserve">with </w:t>
      </w:r>
      <w:r w:rsidR="004564BF">
        <w:rPr>
          <w:rFonts w:ascii="Tahoma" w:eastAsia="Times New Roman" w:hAnsi="Tahoma" w:cs="Tahoma"/>
          <w:color w:val="333333"/>
        </w:rPr>
        <w:t>3.2</w:t>
      </w:r>
      <w:r w:rsidR="005731A9" w:rsidRPr="00120C7F">
        <w:rPr>
          <w:rFonts w:ascii="Tahoma" w:eastAsia="Times New Roman" w:hAnsi="Tahoma" w:cs="Tahoma"/>
          <w:color w:val="333333"/>
        </w:rPr>
        <w:t>%</w:t>
      </w:r>
      <w:r w:rsidR="00276E70" w:rsidRPr="00120C7F">
        <w:rPr>
          <w:rFonts w:ascii="Tahoma" w:eastAsia="Times New Roman" w:hAnsi="Tahoma" w:cs="Tahoma"/>
          <w:color w:val="333333"/>
        </w:rPr>
        <w:t xml:space="preserve"> nationwide.</w:t>
      </w:r>
      <w:r w:rsidRPr="00120C7F">
        <w:rPr>
          <w:rFonts w:ascii="Tahoma" w:eastAsia="Times New Roman" w:hAnsi="Tahoma" w:cs="Tahoma"/>
          <w:color w:val="333333"/>
        </w:rPr>
        <w:t xml:space="preserve"> </w:t>
      </w:r>
    </w:p>
    <w:p w:rsidR="004013B2" w:rsidRDefault="002E1171" w:rsidP="00356047">
      <w:pPr>
        <w:shd w:val="clear" w:color="auto" w:fill="FFFFFF"/>
        <w:tabs>
          <w:tab w:val="left" w:pos="450"/>
          <w:tab w:val="left" w:pos="540"/>
        </w:tabs>
        <w:spacing w:after="0"/>
        <w:ind w:left="-90"/>
        <w:jc w:val="both"/>
        <w:rPr>
          <w:rFonts w:ascii="Tahoma" w:hAnsi="Tahoma" w:cs="Tahoma"/>
        </w:rPr>
        <w:sectPr w:rsidR="004013B2" w:rsidSect="00120C7F">
          <w:type w:val="continuous"/>
          <w:pgSz w:w="12240" w:h="15840"/>
          <w:pgMar w:top="1440" w:right="1440" w:bottom="1440" w:left="2070" w:header="720" w:footer="720" w:gutter="0"/>
          <w:cols w:num="2" w:space="720"/>
          <w:docGrid w:linePitch="360"/>
        </w:sectPr>
      </w:pPr>
      <w:r w:rsidRPr="00120C7F">
        <w:rPr>
          <w:rFonts w:ascii="Tahoma" w:eastAsia="Times New Roman" w:hAnsi="Tahoma" w:cs="Tahoma"/>
          <w:color w:val="333333"/>
        </w:rPr>
        <w:lastRenderedPageBreak/>
        <w:tab/>
      </w:r>
      <w:r w:rsidR="00A52E4D">
        <w:rPr>
          <w:rFonts w:ascii="Tahoma" w:eastAsia="Times New Roman" w:hAnsi="Tahoma" w:cs="Tahoma"/>
          <w:color w:val="333333"/>
        </w:rPr>
        <w:t xml:space="preserve">In addition to </w:t>
      </w:r>
      <w:r w:rsidR="00E84413">
        <w:rPr>
          <w:rFonts w:ascii="Tahoma" w:eastAsia="Times New Roman" w:hAnsi="Tahoma" w:cs="Tahoma"/>
          <w:color w:val="333333"/>
        </w:rPr>
        <w:t>higher PCPI the Waco economy is experiencing growth in e</w:t>
      </w:r>
      <w:r w:rsidR="00E84413">
        <w:rPr>
          <w:rFonts w:ascii="Tahoma" w:eastAsia="Times New Roman" w:hAnsi="Tahoma" w:cs="Tahoma"/>
          <w:color w:val="333333"/>
        </w:rPr>
        <w:t>m</w:t>
      </w:r>
      <w:r w:rsidR="00E84413">
        <w:rPr>
          <w:rFonts w:ascii="Tahoma" w:eastAsia="Times New Roman" w:hAnsi="Tahoma" w:cs="Tahoma"/>
          <w:color w:val="333333"/>
        </w:rPr>
        <w:t xml:space="preserve">ployment. </w:t>
      </w:r>
      <w:r w:rsidR="00646074">
        <w:rPr>
          <w:rFonts w:ascii="Tahoma" w:eastAsia="Times New Roman" w:hAnsi="Tahoma" w:cs="Tahoma"/>
          <w:color w:val="333333"/>
        </w:rPr>
        <w:t xml:space="preserve">Figure 1 shows </w:t>
      </w:r>
      <w:r w:rsidRPr="00120C7F">
        <w:rPr>
          <w:rFonts w:ascii="Tahoma" w:eastAsia="Times New Roman" w:hAnsi="Tahoma" w:cs="Tahoma"/>
          <w:color w:val="333333"/>
        </w:rPr>
        <w:t>seasonally-adjusted quarterly household emplo</w:t>
      </w:r>
      <w:r w:rsidRPr="00120C7F">
        <w:rPr>
          <w:rFonts w:ascii="Tahoma" w:eastAsia="Times New Roman" w:hAnsi="Tahoma" w:cs="Tahoma"/>
          <w:color w:val="333333"/>
        </w:rPr>
        <w:t>y</w:t>
      </w:r>
      <w:r w:rsidR="00646074">
        <w:rPr>
          <w:rFonts w:ascii="Tahoma" w:eastAsia="Times New Roman" w:hAnsi="Tahoma" w:cs="Tahoma"/>
          <w:color w:val="333333"/>
        </w:rPr>
        <w:t>ment since 2000</w:t>
      </w:r>
      <w:r w:rsidR="00E84413">
        <w:rPr>
          <w:rFonts w:ascii="Tahoma" w:eastAsia="Times New Roman" w:hAnsi="Tahoma" w:cs="Tahoma"/>
          <w:color w:val="333333"/>
        </w:rPr>
        <w:t>, a period</w:t>
      </w:r>
      <w:r w:rsidR="0079636C">
        <w:rPr>
          <w:rFonts w:ascii="Tahoma" w:eastAsia="Times New Roman" w:hAnsi="Tahoma" w:cs="Tahoma"/>
          <w:color w:val="333333"/>
        </w:rPr>
        <w:t xml:space="preserve"> </w:t>
      </w:r>
      <w:r w:rsidR="00646074">
        <w:rPr>
          <w:rFonts w:ascii="Tahoma" w:eastAsia="Times New Roman" w:hAnsi="Tahoma" w:cs="Tahoma"/>
          <w:color w:val="333333"/>
        </w:rPr>
        <w:t xml:space="preserve">that included </w:t>
      </w:r>
      <w:r w:rsidR="00E84413">
        <w:rPr>
          <w:rFonts w:ascii="Tahoma" w:eastAsia="Times New Roman" w:hAnsi="Tahoma" w:cs="Tahoma"/>
          <w:color w:val="333333"/>
        </w:rPr>
        <w:t>recessions in 2001 and 2008-09</w:t>
      </w:r>
      <w:r w:rsidR="0079636C">
        <w:rPr>
          <w:rFonts w:ascii="Tahoma" w:eastAsia="Times New Roman" w:hAnsi="Tahoma" w:cs="Tahoma"/>
          <w:color w:val="333333"/>
        </w:rPr>
        <w:t xml:space="preserve">. </w:t>
      </w:r>
      <w:r w:rsidR="00E84413">
        <w:rPr>
          <w:rFonts w:ascii="Tahoma" w:eastAsia="Times New Roman" w:hAnsi="Tahoma" w:cs="Tahoma"/>
          <w:color w:val="333333"/>
        </w:rPr>
        <w:t xml:space="preserve"> </w:t>
      </w:r>
      <w:r w:rsidR="004013B2">
        <w:rPr>
          <w:rFonts w:ascii="Tahoma" w:eastAsia="Times New Roman" w:hAnsi="Tahoma" w:cs="Tahoma"/>
          <w:color w:val="333333"/>
        </w:rPr>
        <w:t>Over the 15-year period Waco employment increased at an average</w:t>
      </w:r>
      <w:r w:rsidR="0079636C">
        <w:rPr>
          <w:rFonts w:ascii="Tahoma" w:eastAsia="Times New Roman" w:hAnsi="Tahoma" w:cs="Tahoma"/>
          <w:color w:val="333333"/>
        </w:rPr>
        <w:t xml:space="preserve"> </w:t>
      </w:r>
      <w:r w:rsidR="004013B2">
        <w:rPr>
          <w:rFonts w:ascii="Tahoma" w:eastAsia="Times New Roman" w:hAnsi="Tahoma" w:cs="Tahoma"/>
          <w:color w:val="333333"/>
        </w:rPr>
        <w:t xml:space="preserve">annual </w:t>
      </w:r>
      <w:r w:rsidR="007A543A">
        <w:rPr>
          <w:rFonts w:ascii="Tahoma" w:eastAsia="Times New Roman" w:hAnsi="Tahoma" w:cs="Tahoma"/>
          <w:color w:val="333333"/>
        </w:rPr>
        <w:t>rate of 0.4%</w:t>
      </w:r>
      <w:r w:rsidR="0079636C">
        <w:rPr>
          <w:rFonts w:ascii="Tahoma" w:eastAsia="Times New Roman" w:hAnsi="Tahoma" w:cs="Tahoma"/>
          <w:color w:val="333333"/>
        </w:rPr>
        <w:t xml:space="preserve"> that is the same average since the</w:t>
      </w:r>
      <w:r w:rsidR="007A543A">
        <w:rPr>
          <w:rFonts w:ascii="Tahoma" w:eastAsia="Times New Roman" w:hAnsi="Tahoma" w:cs="Tahoma"/>
          <w:color w:val="333333"/>
        </w:rPr>
        <w:t xml:space="preserve"> </w:t>
      </w:r>
      <w:r w:rsidR="00D74DD0">
        <w:rPr>
          <w:rFonts w:ascii="Tahoma" w:eastAsia="Times New Roman" w:hAnsi="Tahoma" w:cs="Tahoma"/>
          <w:color w:val="333333"/>
        </w:rPr>
        <w:t xml:space="preserve">beginning </w:t>
      </w:r>
      <w:r w:rsidR="004068D0">
        <w:rPr>
          <w:rFonts w:ascii="Tahoma" w:eastAsia="Times New Roman" w:hAnsi="Tahoma" w:cs="Tahoma"/>
          <w:color w:val="333333"/>
        </w:rPr>
        <w:t>the 2008-09 recession.</w:t>
      </w:r>
      <w:r w:rsidR="0079636C">
        <w:rPr>
          <w:rFonts w:ascii="Tahoma" w:eastAsia="Times New Roman" w:hAnsi="Tahoma" w:cs="Tahoma"/>
          <w:color w:val="333333"/>
        </w:rPr>
        <w:t xml:space="preserve">  Ho</w:t>
      </w:r>
      <w:r w:rsidR="0079636C">
        <w:rPr>
          <w:rFonts w:ascii="Tahoma" w:eastAsia="Times New Roman" w:hAnsi="Tahoma" w:cs="Tahoma"/>
          <w:color w:val="333333"/>
        </w:rPr>
        <w:t>w</w:t>
      </w:r>
      <w:r w:rsidR="0079636C">
        <w:rPr>
          <w:rFonts w:ascii="Tahoma" w:eastAsia="Times New Roman" w:hAnsi="Tahoma" w:cs="Tahoma"/>
          <w:color w:val="333333"/>
        </w:rPr>
        <w:t xml:space="preserve">ever, </w:t>
      </w:r>
      <w:r w:rsidR="00E84413">
        <w:rPr>
          <w:rFonts w:ascii="Tahoma" w:eastAsia="Times New Roman" w:hAnsi="Tahoma" w:cs="Tahoma"/>
          <w:color w:val="333333"/>
        </w:rPr>
        <w:t>over</w:t>
      </w:r>
      <w:r w:rsidR="004013B2">
        <w:rPr>
          <w:rFonts w:ascii="Tahoma" w:eastAsia="Times New Roman" w:hAnsi="Tahoma" w:cs="Tahoma"/>
          <w:color w:val="333333"/>
        </w:rPr>
        <w:t xml:space="preserve"> </w:t>
      </w:r>
      <w:r w:rsidR="004068D0">
        <w:rPr>
          <w:rFonts w:ascii="Tahoma" w:eastAsia="Times New Roman" w:hAnsi="Tahoma" w:cs="Tahoma"/>
          <w:color w:val="333333"/>
        </w:rPr>
        <w:t xml:space="preserve">the six quarters ending in 1st quarter 2015 employment increased at an annual rate of 1.7%, completely closing the gap with the </w:t>
      </w:r>
      <w:r w:rsidR="00EB163D">
        <w:rPr>
          <w:rFonts w:ascii="Tahoma" w:eastAsia="Times New Roman" w:hAnsi="Tahoma" w:cs="Tahoma"/>
          <w:color w:val="333333"/>
        </w:rPr>
        <w:t xml:space="preserve">past </w:t>
      </w:r>
      <w:r w:rsidR="004068D0">
        <w:rPr>
          <w:rFonts w:ascii="Tahoma" w:eastAsia="Times New Roman" w:hAnsi="Tahoma" w:cs="Tahoma"/>
          <w:color w:val="333333"/>
        </w:rPr>
        <w:t xml:space="preserve">fifteen-year </w:t>
      </w:r>
      <w:r w:rsidR="00EB163D">
        <w:rPr>
          <w:rFonts w:ascii="Tahoma" w:eastAsia="Times New Roman" w:hAnsi="Tahoma" w:cs="Tahoma"/>
          <w:color w:val="333333"/>
        </w:rPr>
        <w:t xml:space="preserve">trend </w:t>
      </w:r>
      <w:r w:rsidR="0079636C">
        <w:rPr>
          <w:rFonts w:ascii="Tahoma" w:eastAsia="Times New Roman" w:hAnsi="Tahoma" w:cs="Tahoma"/>
          <w:color w:val="333333"/>
        </w:rPr>
        <w:t xml:space="preserve">and setting the stage for faster growth in the future.  </w:t>
      </w:r>
      <w:r w:rsidR="004013B2">
        <w:rPr>
          <w:rFonts w:ascii="Tahoma" w:hAnsi="Tahoma" w:cs="Tahoma"/>
        </w:rPr>
        <w:t xml:space="preserve">Projected </w:t>
      </w:r>
      <w:r w:rsidR="00293F29">
        <w:rPr>
          <w:rFonts w:ascii="Tahoma" w:hAnsi="Tahoma" w:cs="Tahoma"/>
        </w:rPr>
        <w:t xml:space="preserve">household </w:t>
      </w:r>
      <w:r w:rsidR="004013B2">
        <w:rPr>
          <w:rFonts w:ascii="Tahoma" w:hAnsi="Tahoma" w:cs="Tahoma"/>
        </w:rPr>
        <w:t>e</w:t>
      </w:r>
      <w:r w:rsidR="004013B2">
        <w:rPr>
          <w:rFonts w:ascii="Tahoma" w:hAnsi="Tahoma" w:cs="Tahoma"/>
        </w:rPr>
        <w:t>m</w:t>
      </w:r>
      <w:r w:rsidR="004013B2">
        <w:rPr>
          <w:rFonts w:ascii="Tahoma" w:hAnsi="Tahoma" w:cs="Tahoma"/>
        </w:rPr>
        <w:t>ployment will</w:t>
      </w:r>
      <w:r w:rsidRPr="00120C7F">
        <w:rPr>
          <w:rFonts w:ascii="Tahoma" w:hAnsi="Tahoma" w:cs="Tahoma"/>
        </w:rPr>
        <w:t xml:space="preserve"> </w:t>
      </w:r>
      <w:r w:rsidR="004013B2">
        <w:rPr>
          <w:rFonts w:ascii="Tahoma" w:hAnsi="Tahoma" w:cs="Tahoma"/>
        </w:rPr>
        <w:t xml:space="preserve">continue to grow </w:t>
      </w:r>
      <w:r w:rsidR="00E84413">
        <w:rPr>
          <w:rFonts w:ascii="Tahoma" w:hAnsi="Tahoma" w:cs="Tahoma"/>
        </w:rPr>
        <w:t xml:space="preserve">next year an </w:t>
      </w:r>
      <w:r w:rsidR="004013B2">
        <w:rPr>
          <w:rFonts w:ascii="Tahoma" w:hAnsi="Tahoma" w:cs="Tahoma"/>
        </w:rPr>
        <w:t xml:space="preserve">annual </w:t>
      </w:r>
      <w:r w:rsidR="00E84413">
        <w:rPr>
          <w:rFonts w:ascii="Tahoma" w:hAnsi="Tahoma" w:cs="Tahoma"/>
        </w:rPr>
        <w:t>pace</w:t>
      </w:r>
      <w:r w:rsidR="004013B2">
        <w:rPr>
          <w:rFonts w:ascii="Tahoma" w:hAnsi="Tahoma" w:cs="Tahoma"/>
        </w:rPr>
        <w:t xml:space="preserve"> </w:t>
      </w:r>
      <w:r w:rsidR="00293F29">
        <w:rPr>
          <w:rFonts w:ascii="Tahoma" w:hAnsi="Tahoma" w:cs="Tahoma"/>
        </w:rPr>
        <w:t>well above the trend rate</w:t>
      </w:r>
      <w:r w:rsidR="00E84413">
        <w:rPr>
          <w:rFonts w:ascii="Tahoma" w:hAnsi="Tahoma" w:cs="Tahoma"/>
        </w:rPr>
        <w:t>.</w:t>
      </w:r>
      <w:r w:rsidR="00293F29">
        <w:rPr>
          <w:rFonts w:ascii="Tahoma" w:hAnsi="Tahoma" w:cs="Tahoma"/>
        </w:rPr>
        <w:t xml:space="preserve"> </w:t>
      </w:r>
    </w:p>
    <w:p w:rsidR="002E1171" w:rsidRPr="00120C7F" w:rsidRDefault="002E1171" w:rsidP="00356047">
      <w:pPr>
        <w:shd w:val="clear" w:color="auto" w:fill="FFFFFF"/>
        <w:tabs>
          <w:tab w:val="left" w:pos="450"/>
          <w:tab w:val="left" w:pos="540"/>
        </w:tabs>
        <w:spacing w:after="0"/>
        <w:ind w:left="-90"/>
        <w:jc w:val="both"/>
        <w:rPr>
          <w:rFonts w:ascii="Tahoma" w:hAnsi="Tahoma" w:cs="Tahoma"/>
        </w:rPr>
      </w:pPr>
    </w:p>
    <w:p w:rsidR="00A87080" w:rsidRPr="00120C7F" w:rsidRDefault="00A87080" w:rsidP="00120C7F">
      <w:pPr>
        <w:shd w:val="clear" w:color="auto" w:fill="FFFFFF"/>
        <w:spacing w:after="0"/>
        <w:ind w:left="-90"/>
        <w:jc w:val="both"/>
        <w:rPr>
          <w:rFonts w:ascii="Arial" w:eastAsia="Times New Roman" w:hAnsi="Arial" w:cs="Arial"/>
          <w:color w:val="333333"/>
        </w:rPr>
        <w:sectPr w:rsidR="00A87080" w:rsidRPr="00120C7F" w:rsidSect="00120C7F">
          <w:type w:val="continuous"/>
          <w:pgSz w:w="12240" w:h="15840"/>
          <w:pgMar w:top="1440" w:right="1440" w:bottom="1440" w:left="2070" w:header="720" w:footer="720" w:gutter="0"/>
          <w:cols w:num="2" w:space="720"/>
          <w:docGrid w:linePitch="360"/>
        </w:sectPr>
      </w:pPr>
    </w:p>
    <w:p w:rsidR="005F5C39" w:rsidRDefault="00120C7F" w:rsidP="00343AC5">
      <w:pPr>
        <w:tabs>
          <w:tab w:val="left" w:pos="360"/>
        </w:tabs>
        <w:spacing w:after="0"/>
        <w:rPr>
          <w:sz w:val="18"/>
          <w:szCs w:val="18"/>
        </w:rPr>
      </w:pPr>
      <w:r w:rsidRPr="003E65E4">
        <w:rPr>
          <w:noProof/>
          <w:sz w:val="18"/>
          <w:szCs w:val="18"/>
        </w:rPr>
        <w:lastRenderedPageBreak/>
        <w:drawing>
          <wp:inline distT="0" distB="0" distL="0" distR="0" wp14:anchorId="47CE0E30" wp14:editId="4703119E">
            <wp:extent cx="5596569" cy="3238959"/>
            <wp:effectExtent l="0" t="0" r="2349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0C7F" w:rsidRDefault="00A87080" w:rsidP="000D3771">
      <w:pPr>
        <w:shd w:val="clear" w:color="auto" w:fill="FFFFFF"/>
        <w:spacing w:after="0"/>
        <w:ind w:right="144"/>
        <w:jc w:val="both"/>
        <w:rPr>
          <w:rFonts w:ascii="Tahoma" w:hAnsi="Tahoma" w:cs="Tahoma"/>
          <w:sz w:val="16"/>
          <w:szCs w:val="16"/>
        </w:rPr>
      </w:pPr>
      <w:r w:rsidRPr="00120C7F">
        <w:rPr>
          <w:rFonts w:ascii="Tahoma" w:hAnsi="Tahoma" w:cs="Tahoma"/>
          <w:sz w:val="16"/>
          <w:szCs w:val="16"/>
        </w:rPr>
        <w:t>Source:  U.S. Bureau of Labor Statistics</w:t>
      </w:r>
    </w:p>
    <w:p w:rsidR="000D3771" w:rsidRDefault="000D3771" w:rsidP="000D3771">
      <w:pPr>
        <w:shd w:val="clear" w:color="auto" w:fill="FFFFFF"/>
        <w:spacing w:after="0"/>
        <w:ind w:right="144"/>
        <w:jc w:val="both"/>
        <w:rPr>
          <w:rFonts w:eastAsia="Times New Roman" w:cstheme="minorHAnsi"/>
          <w:color w:val="333333"/>
          <w:sz w:val="24"/>
          <w:szCs w:val="24"/>
        </w:rPr>
        <w:sectPr w:rsidR="000D3771" w:rsidSect="00343AC5">
          <w:type w:val="continuous"/>
          <w:pgSz w:w="12240" w:h="15840"/>
          <w:pgMar w:top="1440" w:right="1350" w:bottom="1440" w:left="2070" w:header="720" w:footer="720" w:gutter="0"/>
          <w:cols w:space="720"/>
          <w:docGrid w:linePitch="360"/>
        </w:sectPr>
      </w:pPr>
    </w:p>
    <w:p w:rsidR="002E1171" w:rsidRDefault="002E1171" w:rsidP="005F5C39">
      <w:pPr>
        <w:shd w:val="clear" w:color="auto" w:fill="FFFFFF"/>
        <w:tabs>
          <w:tab w:val="left" w:pos="0"/>
        </w:tabs>
        <w:spacing w:after="0"/>
        <w:ind w:right="144"/>
        <w:jc w:val="both"/>
        <w:rPr>
          <w:rFonts w:eastAsia="Times New Roman" w:cstheme="minorHAnsi"/>
          <w:color w:val="333333"/>
          <w:sz w:val="24"/>
          <w:szCs w:val="24"/>
        </w:rPr>
        <w:sectPr w:rsidR="002E1171" w:rsidSect="00343AC5">
          <w:type w:val="continuous"/>
          <w:pgSz w:w="12240" w:h="15840"/>
          <w:pgMar w:top="1440" w:right="1350" w:bottom="1440" w:left="2070" w:header="720" w:footer="720" w:gutter="0"/>
          <w:cols w:space="720"/>
          <w:docGrid w:linePitch="360"/>
        </w:sectPr>
      </w:pPr>
    </w:p>
    <w:p w:rsidR="002E1171" w:rsidRDefault="002E1171" w:rsidP="00343AC5">
      <w:pPr>
        <w:shd w:val="clear" w:color="auto" w:fill="FFFFFF"/>
        <w:tabs>
          <w:tab w:val="left" w:pos="0"/>
        </w:tabs>
        <w:spacing w:after="0"/>
        <w:jc w:val="both"/>
        <w:rPr>
          <w:rFonts w:ascii="Arial" w:eastAsia="Times New Roman" w:hAnsi="Arial" w:cs="Arial"/>
          <w:color w:val="333333"/>
        </w:rPr>
        <w:sectPr w:rsidR="002E1171" w:rsidSect="00343AC5">
          <w:type w:val="continuous"/>
          <w:pgSz w:w="12240" w:h="15840"/>
          <w:pgMar w:top="1440" w:right="1350" w:bottom="1440" w:left="2070" w:header="720" w:footer="720" w:gutter="0"/>
          <w:cols w:space="720"/>
          <w:docGrid w:linePitch="360"/>
        </w:sectPr>
      </w:pPr>
    </w:p>
    <w:p w:rsidR="000D3771" w:rsidRDefault="005731A9" w:rsidP="00BC7E4B">
      <w:pPr>
        <w:shd w:val="clear" w:color="auto" w:fill="FFFFFF"/>
        <w:tabs>
          <w:tab w:val="left" w:pos="180"/>
        </w:tabs>
        <w:spacing w:after="120"/>
        <w:ind w:right="-274"/>
        <w:jc w:val="both"/>
        <w:rPr>
          <w:rFonts w:ascii="Tahoma" w:hAnsi="Tahoma" w:cs="Tahoma"/>
          <w:sz w:val="28"/>
          <w:szCs w:val="28"/>
        </w:rPr>
      </w:pPr>
      <w:r>
        <w:rPr>
          <w:rFonts w:ascii="Tahoma" w:hAnsi="Tahoma" w:cs="Tahoma"/>
          <w:sz w:val="28"/>
          <w:szCs w:val="28"/>
        </w:rPr>
        <w:lastRenderedPageBreak/>
        <w:t>Waco MSA</w:t>
      </w:r>
      <w:r w:rsidR="009B3EA0" w:rsidRPr="002E1171">
        <w:rPr>
          <w:rFonts w:ascii="Tahoma" w:hAnsi="Tahoma" w:cs="Tahoma"/>
          <w:sz w:val="28"/>
          <w:szCs w:val="28"/>
        </w:rPr>
        <w:t xml:space="preserve"> Unemployment Rate</w:t>
      </w:r>
    </w:p>
    <w:p w:rsidR="00E84413" w:rsidRDefault="00E84413" w:rsidP="00BC7E4B">
      <w:pPr>
        <w:shd w:val="clear" w:color="auto" w:fill="FFFFFF"/>
        <w:tabs>
          <w:tab w:val="left" w:pos="180"/>
        </w:tabs>
        <w:spacing w:after="120"/>
        <w:ind w:right="-274"/>
        <w:jc w:val="both"/>
        <w:rPr>
          <w:rFonts w:ascii="Tahoma" w:hAnsi="Tahoma" w:cs="Tahoma"/>
          <w:sz w:val="28"/>
          <w:szCs w:val="28"/>
        </w:rPr>
        <w:sectPr w:rsidR="00E84413" w:rsidSect="005956F5">
          <w:pgSz w:w="12240" w:h="15840"/>
          <w:pgMar w:top="1440" w:right="1350" w:bottom="1440" w:left="2070" w:header="720" w:footer="720" w:gutter="0"/>
          <w:cols w:num="2" w:space="720"/>
          <w:docGrid w:linePitch="360"/>
        </w:sectPr>
      </w:pPr>
    </w:p>
    <w:p w:rsidR="00630F81" w:rsidRPr="00120C7F" w:rsidRDefault="000D3771" w:rsidP="00677A45">
      <w:pPr>
        <w:shd w:val="clear" w:color="auto" w:fill="FFFFFF"/>
        <w:tabs>
          <w:tab w:val="left" w:pos="540"/>
        </w:tabs>
        <w:spacing w:after="0"/>
        <w:ind w:left="-90"/>
        <w:jc w:val="both"/>
        <w:rPr>
          <w:rFonts w:ascii="Tahoma" w:hAnsi="Tahoma" w:cs="Tahoma"/>
        </w:rPr>
      </w:pPr>
      <w:r>
        <w:rPr>
          <w:rFonts w:ascii="Tahoma" w:hAnsi="Tahoma" w:cs="Tahoma"/>
        </w:rPr>
        <w:lastRenderedPageBreak/>
        <w:tab/>
      </w:r>
      <w:r w:rsidR="005731A9" w:rsidRPr="00120C7F">
        <w:rPr>
          <w:rFonts w:ascii="Tahoma" w:hAnsi="Tahoma" w:cs="Tahoma"/>
        </w:rPr>
        <w:t>The</w:t>
      </w:r>
      <w:r w:rsidR="00630F81" w:rsidRPr="00120C7F">
        <w:rPr>
          <w:rFonts w:ascii="Tahoma" w:hAnsi="Tahoma" w:cs="Tahoma"/>
        </w:rPr>
        <w:t xml:space="preserve"> BLS household survey is used to measure the </w:t>
      </w:r>
      <w:r w:rsidR="008326E1" w:rsidRPr="00120C7F">
        <w:rPr>
          <w:rFonts w:ascii="Tahoma" w:hAnsi="Tahoma" w:cs="Tahoma"/>
        </w:rPr>
        <w:t xml:space="preserve">unemployment rate equal to the percentage </w:t>
      </w:r>
      <w:r w:rsidR="009B3EA0" w:rsidRPr="00120C7F">
        <w:rPr>
          <w:rFonts w:ascii="Tahoma" w:hAnsi="Tahoma" w:cs="Tahoma"/>
        </w:rPr>
        <w:t>of</w:t>
      </w:r>
      <w:r w:rsidR="008326E1" w:rsidRPr="00120C7F">
        <w:rPr>
          <w:rFonts w:ascii="Tahoma" w:hAnsi="Tahoma" w:cs="Tahoma"/>
        </w:rPr>
        <w:t xml:space="preserve"> </w:t>
      </w:r>
      <w:r w:rsidR="009B3EA0" w:rsidRPr="00120C7F">
        <w:rPr>
          <w:rFonts w:ascii="Tahoma" w:hAnsi="Tahoma" w:cs="Tahoma"/>
        </w:rPr>
        <w:t xml:space="preserve">unemployed persons in </w:t>
      </w:r>
      <w:r w:rsidR="008326E1" w:rsidRPr="00120C7F">
        <w:rPr>
          <w:rFonts w:ascii="Tahoma" w:hAnsi="Tahoma" w:cs="Tahoma"/>
        </w:rPr>
        <w:t xml:space="preserve">the labor force </w:t>
      </w:r>
      <w:r w:rsidR="002E326D" w:rsidRPr="00120C7F">
        <w:rPr>
          <w:rFonts w:ascii="Tahoma" w:hAnsi="Tahoma" w:cs="Tahoma"/>
        </w:rPr>
        <w:t>that consists</w:t>
      </w:r>
      <w:r w:rsidR="008326E1" w:rsidRPr="00120C7F">
        <w:rPr>
          <w:rFonts w:ascii="Tahoma" w:hAnsi="Tahoma" w:cs="Tahoma"/>
        </w:rPr>
        <w:t xml:space="preserve"> </w:t>
      </w:r>
      <w:r w:rsidR="00A92413" w:rsidRPr="00120C7F">
        <w:rPr>
          <w:rFonts w:ascii="Tahoma" w:hAnsi="Tahoma" w:cs="Tahoma"/>
        </w:rPr>
        <w:t xml:space="preserve">of </w:t>
      </w:r>
      <w:r w:rsidR="002E326D" w:rsidRPr="00120C7F">
        <w:rPr>
          <w:rFonts w:ascii="Tahoma" w:hAnsi="Tahoma" w:cs="Tahoma"/>
        </w:rPr>
        <w:t xml:space="preserve">area residents </w:t>
      </w:r>
      <w:r w:rsidR="008326E1" w:rsidRPr="00120C7F">
        <w:rPr>
          <w:rFonts w:ascii="Tahoma" w:hAnsi="Tahoma" w:cs="Tahoma"/>
        </w:rPr>
        <w:t>above age 16 who</w:t>
      </w:r>
      <w:r w:rsidR="001C3434">
        <w:rPr>
          <w:rFonts w:ascii="Tahoma" w:hAnsi="Tahoma" w:cs="Tahoma"/>
        </w:rPr>
        <w:t xml:space="preserve"> </w:t>
      </w:r>
      <w:r w:rsidR="001C3434" w:rsidRPr="00120C7F">
        <w:rPr>
          <w:rFonts w:ascii="Tahoma" w:hAnsi="Tahoma" w:cs="Tahoma"/>
        </w:rPr>
        <w:t>are either employed or actively seeking employment</w:t>
      </w:r>
      <w:r w:rsidR="008326E1" w:rsidRPr="00120C7F">
        <w:rPr>
          <w:rFonts w:ascii="Tahoma" w:hAnsi="Tahoma" w:cs="Tahoma"/>
        </w:rPr>
        <w:t xml:space="preserve"> </w:t>
      </w:r>
      <w:r w:rsidR="001C3434">
        <w:rPr>
          <w:rFonts w:ascii="Tahoma" w:hAnsi="Tahoma" w:cs="Tahoma"/>
        </w:rPr>
        <w:t xml:space="preserve">and </w:t>
      </w:r>
      <w:r w:rsidR="008326E1" w:rsidRPr="00120C7F">
        <w:rPr>
          <w:rFonts w:ascii="Tahoma" w:hAnsi="Tahoma" w:cs="Tahoma"/>
        </w:rPr>
        <w:t xml:space="preserve">are not serving in the military or </w:t>
      </w:r>
      <w:r w:rsidR="009B3EA0" w:rsidRPr="00120C7F">
        <w:rPr>
          <w:rFonts w:ascii="Tahoma" w:hAnsi="Tahoma" w:cs="Tahoma"/>
        </w:rPr>
        <w:t>ot</w:t>
      </w:r>
      <w:r w:rsidR="009B3EA0" w:rsidRPr="00120C7F">
        <w:rPr>
          <w:rFonts w:ascii="Tahoma" w:hAnsi="Tahoma" w:cs="Tahoma"/>
        </w:rPr>
        <w:t>h</w:t>
      </w:r>
      <w:r w:rsidR="009B3EA0" w:rsidRPr="00120C7F">
        <w:rPr>
          <w:rFonts w:ascii="Tahoma" w:hAnsi="Tahoma" w:cs="Tahoma"/>
        </w:rPr>
        <w:t xml:space="preserve">erwise </w:t>
      </w:r>
      <w:r w:rsidR="008326E1" w:rsidRPr="00120C7F">
        <w:rPr>
          <w:rFonts w:ascii="Tahoma" w:hAnsi="Tahoma" w:cs="Tahoma"/>
        </w:rPr>
        <w:t>institutionalized</w:t>
      </w:r>
      <w:r w:rsidR="001C3434">
        <w:rPr>
          <w:rFonts w:ascii="Tahoma" w:hAnsi="Tahoma" w:cs="Tahoma"/>
        </w:rPr>
        <w:t>.</w:t>
      </w:r>
      <w:r w:rsidR="008326E1" w:rsidRPr="00120C7F">
        <w:rPr>
          <w:rFonts w:ascii="Tahoma" w:hAnsi="Tahoma" w:cs="Tahoma"/>
        </w:rPr>
        <w:t xml:space="preserve"> </w:t>
      </w:r>
      <w:r w:rsidR="002E326D" w:rsidRPr="00120C7F">
        <w:rPr>
          <w:rFonts w:ascii="Tahoma" w:hAnsi="Tahoma" w:cs="Tahoma"/>
        </w:rPr>
        <w:t xml:space="preserve">The local labor force can change due to demographic trends, net migration, </w:t>
      </w:r>
      <w:r w:rsidR="001C3434">
        <w:rPr>
          <w:rFonts w:ascii="Tahoma" w:hAnsi="Tahoma" w:cs="Tahoma"/>
        </w:rPr>
        <w:t xml:space="preserve">and </w:t>
      </w:r>
      <w:r w:rsidR="002E326D" w:rsidRPr="00120C7F">
        <w:rPr>
          <w:rFonts w:ascii="Tahoma" w:hAnsi="Tahoma" w:cs="Tahoma"/>
        </w:rPr>
        <w:t>the presence of workers who may be encouraged or di</w:t>
      </w:r>
      <w:r w:rsidR="002E326D" w:rsidRPr="00120C7F">
        <w:rPr>
          <w:rFonts w:ascii="Tahoma" w:hAnsi="Tahoma" w:cs="Tahoma"/>
        </w:rPr>
        <w:t>s</w:t>
      </w:r>
      <w:r w:rsidR="002E326D" w:rsidRPr="00120C7F">
        <w:rPr>
          <w:rFonts w:ascii="Tahoma" w:hAnsi="Tahoma" w:cs="Tahoma"/>
        </w:rPr>
        <w:t>couraged from seeking employment based on local job opportunities, skill and educ</w:t>
      </w:r>
      <w:r w:rsidR="002E326D" w:rsidRPr="00120C7F">
        <w:rPr>
          <w:rFonts w:ascii="Tahoma" w:hAnsi="Tahoma" w:cs="Tahoma"/>
        </w:rPr>
        <w:t>a</w:t>
      </w:r>
      <w:r w:rsidR="002E326D" w:rsidRPr="00120C7F">
        <w:rPr>
          <w:rFonts w:ascii="Tahoma" w:hAnsi="Tahoma" w:cs="Tahoma"/>
        </w:rPr>
        <w:t xml:space="preserve">tion requirements, geographic access, length of time unemployed, and other cyclical and structural forces.  </w:t>
      </w:r>
      <w:r w:rsidR="001658AC" w:rsidRPr="00120C7F">
        <w:rPr>
          <w:rFonts w:ascii="Tahoma" w:hAnsi="Tahoma" w:cs="Tahoma"/>
        </w:rPr>
        <w:t xml:space="preserve">Some of these forces changed in 2013 when Falls County was added to McLennan County as </w:t>
      </w:r>
      <w:r w:rsidR="009B3EA0" w:rsidRPr="00120C7F">
        <w:rPr>
          <w:rFonts w:ascii="Tahoma" w:hAnsi="Tahoma" w:cs="Tahoma"/>
        </w:rPr>
        <w:t xml:space="preserve">part of the </w:t>
      </w:r>
      <w:r w:rsidR="001658AC" w:rsidRPr="00120C7F">
        <w:rPr>
          <w:rFonts w:ascii="Tahoma" w:hAnsi="Tahoma" w:cs="Tahoma"/>
        </w:rPr>
        <w:t>Waco MSA.</w:t>
      </w:r>
    </w:p>
    <w:p w:rsidR="00490C1B" w:rsidRPr="00120C7F" w:rsidRDefault="00D832BE" w:rsidP="00677A45">
      <w:pPr>
        <w:tabs>
          <w:tab w:val="left" w:pos="540"/>
          <w:tab w:val="left" w:pos="2250"/>
        </w:tabs>
        <w:spacing w:after="0"/>
        <w:ind w:left="-90"/>
        <w:jc w:val="both"/>
        <w:rPr>
          <w:rFonts w:ascii="Tahoma" w:hAnsi="Tahoma" w:cs="Tahoma"/>
        </w:rPr>
      </w:pPr>
      <w:r w:rsidRPr="00120C7F">
        <w:rPr>
          <w:rFonts w:ascii="Tahoma" w:hAnsi="Tahoma" w:cs="Tahoma"/>
        </w:rPr>
        <w:tab/>
      </w:r>
      <w:r w:rsidR="00F97286" w:rsidRPr="00120C7F">
        <w:rPr>
          <w:rFonts w:ascii="Tahoma" w:hAnsi="Tahoma" w:cs="Tahoma"/>
        </w:rPr>
        <w:t xml:space="preserve">The </w:t>
      </w:r>
      <w:r w:rsidR="00BC7E4B" w:rsidRPr="00120C7F">
        <w:rPr>
          <w:rFonts w:ascii="Tahoma" w:hAnsi="Tahoma" w:cs="Tahoma"/>
        </w:rPr>
        <w:t xml:space="preserve">Waco </w:t>
      </w:r>
      <w:r w:rsidR="00B466DA" w:rsidRPr="00120C7F">
        <w:rPr>
          <w:rFonts w:ascii="Tahoma" w:hAnsi="Tahoma" w:cs="Tahoma"/>
        </w:rPr>
        <w:t xml:space="preserve">seasonally-adjusted </w:t>
      </w:r>
      <w:r w:rsidR="001658AC" w:rsidRPr="00120C7F">
        <w:rPr>
          <w:rFonts w:ascii="Tahoma" w:hAnsi="Tahoma" w:cs="Tahoma"/>
        </w:rPr>
        <w:t xml:space="preserve">labor force, employment, and the </w:t>
      </w:r>
      <w:r w:rsidR="00B466DA" w:rsidRPr="00120C7F">
        <w:rPr>
          <w:rFonts w:ascii="Tahoma" w:hAnsi="Tahoma" w:cs="Tahoma"/>
        </w:rPr>
        <w:t>unemplo</w:t>
      </w:r>
      <w:r w:rsidR="00B466DA" w:rsidRPr="00120C7F">
        <w:rPr>
          <w:rFonts w:ascii="Tahoma" w:hAnsi="Tahoma" w:cs="Tahoma"/>
        </w:rPr>
        <w:t>y</w:t>
      </w:r>
      <w:r w:rsidR="00B466DA" w:rsidRPr="00120C7F">
        <w:rPr>
          <w:rFonts w:ascii="Tahoma" w:hAnsi="Tahoma" w:cs="Tahoma"/>
        </w:rPr>
        <w:t xml:space="preserve">ment rate for </w:t>
      </w:r>
      <w:r w:rsidR="00BC7E4B" w:rsidRPr="00120C7F">
        <w:rPr>
          <w:rFonts w:ascii="Tahoma" w:hAnsi="Tahoma" w:cs="Tahoma"/>
        </w:rPr>
        <w:t>each quarter since 1st qua</w:t>
      </w:r>
      <w:r w:rsidR="00BC7E4B" w:rsidRPr="00120C7F">
        <w:rPr>
          <w:rFonts w:ascii="Tahoma" w:hAnsi="Tahoma" w:cs="Tahoma"/>
        </w:rPr>
        <w:t>r</w:t>
      </w:r>
      <w:r w:rsidR="00BC7E4B" w:rsidRPr="00120C7F">
        <w:rPr>
          <w:rFonts w:ascii="Tahoma" w:hAnsi="Tahoma" w:cs="Tahoma"/>
        </w:rPr>
        <w:lastRenderedPageBreak/>
        <w:t>ter 2013 are shown in Table 1.</w:t>
      </w:r>
      <w:r w:rsidR="00880934" w:rsidRPr="00120C7F">
        <w:rPr>
          <w:rFonts w:ascii="Tahoma" w:hAnsi="Tahoma" w:cs="Tahoma"/>
        </w:rPr>
        <w:t xml:space="preserve">  </w:t>
      </w:r>
      <w:r w:rsidR="001658AC" w:rsidRPr="00120C7F">
        <w:rPr>
          <w:rFonts w:ascii="Tahoma" w:hAnsi="Tahoma" w:cs="Tahoma"/>
        </w:rPr>
        <w:t>The qua</w:t>
      </w:r>
      <w:r w:rsidR="001658AC" w:rsidRPr="00120C7F">
        <w:rPr>
          <w:rFonts w:ascii="Tahoma" w:hAnsi="Tahoma" w:cs="Tahoma"/>
        </w:rPr>
        <w:t>r</w:t>
      </w:r>
      <w:r w:rsidR="001658AC" w:rsidRPr="00120C7F">
        <w:rPr>
          <w:rFonts w:ascii="Tahoma" w:hAnsi="Tahoma" w:cs="Tahoma"/>
        </w:rPr>
        <w:t>terly average unemployment rate d</w:t>
      </w:r>
      <w:r w:rsidR="001658AC" w:rsidRPr="00120C7F">
        <w:rPr>
          <w:rFonts w:ascii="Tahoma" w:hAnsi="Tahoma" w:cs="Tahoma"/>
        </w:rPr>
        <w:t>e</w:t>
      </w:r>
      <w:r w:rsidR="001658AC" w:rsidRPr="00120C7F">
        <w:rPr>
          <w:rFonts w:ascii="Tahoma" w:hAnsi="Tahoma" w:cs="Tahoma"/>
        </w:rPr>
        <w:t>c</w:t>
      </w:r>
      <w:r w:rsidR="00CD744A" w:rsidRPr="00120C7F">
        <w:rPr>
          <w:rFonts w:ascii="Tahoma" w:hAnsi="Tahoma" w:cs="Tahoma"/>
        </w:rPr>
        <w:t>reased</w:t>
      </w:r>
      <w:r w:rsidR="001658AC" w:rsidRPr="00120C7F">
        <w:rPr>
          <w:rFonts w:ascii="Tahoma" w:hAnsi="Tahoma" w:cs="Tahoma"/>
        </w:rPr>
        <w:t xml:space="preserve"> over the two</w:t>
      </w:r>
      <w:r w:rsidR="00F71DAC" w:rsidRPr="00120C7F">
        <w:rPr>
          <w:rFonts w:ascii="Tahoma" w:hAnsi="Tahoma" w:cs="Tahoma"/>
        </w:rPr>
        <w:t>-</w:t>
      </w:r>
      <w:r w:rsidR="001658AC" w:rsidRPr="00120C7F">
        <w:rPr>
          <w:rFonts w:ascii="Tahoma" w:hAnsi="Tahoma" w:cs="Tahoma"/>
        </w:rPr>
        <w:t>year period</w:t>
      </w:r>
      <w:r w:rsidR="00CD744A" w:rsidRPr="00120C7F">
        <w:rPr>
          <w:rFonts w:ascii="Tahoma" w:hAnsi="Tahoma" w:cs="Tahoma"/>
        </w:rPr>
        <w:t xml:space="preserve"> from</w:t>
      </w:r>
      <w:r w:rsidR="001658AC" w:rsidRPr="00120C7F">
        <w:rPr>
          <w:rFonts w:ascii="Tahoma" w:hAnsi="Tahoma" w:cs="Tahoma"/>
        </w:rPr>
        <w:t xml:space="preserve"> 6.8% in first quarter 2013 to 4.4% in first quarter 2015. </w:t>
      </w:r>
      <w:r w:rsidR="00CD744A" w:rsidRPr="00120C7F">
        <w:rPr>
          <w:rFonts w:ascii="Tahoma" w:hAnsi="Tahoma" w:cs="Tahoma"/>
        </w:rPr>
        <w:t xml:space="preserve"> </w:t>
      </w:r>
      <w:r w:rsidR="00880934" w:rsidRPr="00120C7F">
        <w:rPr>
          <w:rFonts w:ascii="Tahoma" w:hAnsi="Tahoma" w:cs="Tahoma"/>
        </w:rPr>
        <w:t>This</w:t>
      </w:r>
      <w:r w:rsidR="001658AC" w:rsidRPr="00120C7F">
        <w:rPr>
          <w:rFonts w:ascii="Tahoma" w:hAnsi="Tahoma" w:cs="Tahoma"/>
        </w:rPr>
        <w:t xml:space="preserve"> </w:t>
      </w:r>
      <w:r w:rsidR="00B466DA" w:rsidRPr="00120C7F">
        <w:rPr>
          <w:rFonts w:ascii="Tahoma" w:hAnsi="Tahoma" w:cs="Tahoma"/>
        </w:rPr>
        <w:t>decline in the une</w:t>
      </w:r>
      <w:r w:rsidR="00B466DA" w:rsidRPr="00120C7F">
        <w:rPr>
          <w:rFonts w:ascii="Tahoma" w:hAnsi="Tahoma" w:cs="Tahoma"/>
        </w:rPr>
        <w:t>m</w:t>
      </w:r>
      <w:r w:rsidR="00B466DA" w:rsidRPr="00120C7F">
        <w:rPr>
          <w:rFonts w:ascii="Tahoma" w:hAnsi="Tahoma" w:cs="Tahoma"/>
        </w:rPr>
        <w:t xml:space="preserve">ployment rate </w:t>
      </w:r>
      <w:r w:rsidR="00677A45">
        <w:rPr>
          <w:rFonts w:ascii="Tahoma" w:hAnsi="Tahoma" w:cs="Tahoma"/>
        </w:rPr>
        <w:t>has</w:t>
      </w:r>
      <w:r w:rsidR="00B466DA" w:rsidRPr="00120C7F">
        <w:rPr>
          <w:rFonts w:ascii="Tahoma" w:hAnsi="Tahoma" w:cs="Tahoma"/>
        </w:rPr>
        <w:t xml:space="preserve"> not always </w:t>
      </w:r>
      <w:r w:rsidR="00677A45">
        <w:rPr>
          <w:rFonts w:ascii="Tahoma" w:hAnsi="Tahoma" w:cs="Tahoma"/>
        </w:rPr>
        <w:t xml:space="preserve">been </w:t>
      </w:r>
      <w:r w:rsidR="00B466DA" w:rsidRPr="00120C7F">
        <w:rPr>
          <w:rFonts w:ascii="Tahoma" w:hAnsi="Tahoma" w:cs="Tahoma"/>
        </w:rPr>
        <w:t>the result of employment growth</w:t>
      </w:r>
      <w:r w:rsidR="000D3771">
        <w:rPr>
          <w:rFonts w:ascii="Tahoma" w:hAnsi="Tahoma" w:cs="Tahoma"/>
        </w:rPr>
        <w:t>,</w:t>
      </w:r>
      <w:r w:rsidR="002E326D" w:rsidRPr="00120C7F">
        <w:rPr>
          <w:rFonts w:ascii="Tahoma" w:hAnsi="Tahoma" w:cs="Tahoma"/>
        </w:rPr>
        <w:t xml:space="preserve"> but</w:t>
      </w:r>
      <w:r w:rsidR="000D3771">
        <w:rPr>
          <w:rFonts w:ascii="Tahoma" w:hAnsi="Tahoma" w:cs="Tahoma"/>
        </w:rPr>
        <w:t xml:space="preserve"> it</w:t>
      </w:r>
      <w:r w:rsidR="002E326D" w:rsidRPr="00120C7F">
        <w:rPr>
          <w:rFonts w:ascii="Tahoma" w:hAnsi="Tahoma" w:cs="Tahoma"/>
        </w:rPr>
        <w:t xml:space="preserve"> also reflect</w:t>
      </w:r>
      <w:r w:rsidR="009B3EA0" w:rsidRPr="00120C7F">
        <w:rPr>
          <w:rFonts w:ascii="Tahoma" w:hAnsi="Tahoma" w:cs="Tahoma"/>
        </w:rPr>
        <w:t>s</w:t>
      </w:r>
      <w:r w:rsidR="0098166B" w:rsidRPr="00120C7F">
        <w:rPr>
          <w:rFonts w:ascii="Tahoma" w:hAnsi="Tahoma" w:cs="Tahoma"/>
        </w:rPr>
        <w:t xml:space="preserve"> change in the labor force</w:t>
      </w:r>
      <w:r w:rsidR="001658AC" w:rsidRPr="00120C7F">
        <w:rPr>
          <w:rFonts w:ascii="Tahoma" w:hAnsi="Tahoma" w:cs="Tahoma"/>
        </w:rPr>
        <w:t xml:space="preserve"> that </w:t>
      </w:r>
      <w:r w:rsidR="00880934" w:rsidRPr="00120C7F">
        <w:rPr>
          <w:rFonts w:ascii="Tahoma" w:hAnsi="Tahoma" w:cs="Tahoma"/>
        </w:rPr>
        <w:t>decreased during</w:t>
      </w:r>
      <w:r w:rsidR="001658AC" w:rsidRPr="00120C7F">
        <w:rPr>
          <w:rFonts w:ascii="Tahoma" w:hAnsi="Tahoma" w:cs="Tahoma"/>
        </w:rPr>
        <w:t xml:space="preserve"> </w:t>
      </w:r>
      <w:r w:rsidR="009B3EA0" w:rsidRPr="00120C7F">
        <w:rPr>
          <w:rFonts w:ascii="Tahoma" w:hAnsi="Tahoma" w:cs="Tahoma"/>
        </w:rPr>
        <w:t>the</w:t>
      </w:r>
      <w:r w:rsidR="001658AC" w:rsidRPr="00120C7F">
        <w:rPr>
          <w:rFonts w:ascii="Tahoma" w:hAnsi="Tahoma" w:cs="Tahoma"/>
        </w:rPr>
        <w:t xml:space="preserve"> fourth quarter</w:t>
      </w:r>
      <w:r w:rsidR="00CD744A" w:rsidRPr="00120C7F">
        <w:rPr>
          <w:rFonts w:ascii="Tahoma" w:hAnsi="Tahoma" w:cs="Tahoma"/>
        </w:rPr>
        <w:t xml:space="preserve"> in </w:t>
      </w:r>
      <w:r w:rsidR="00880934" w:rsidRPr="00120C7F">
        <w:rPr>
          <w:rFonts w:ascii="Tahoma" w:hAnsi="Tahoma" w:cs="Tahoma"/>
        </w:rPr>
        <w:t>2013 and 2014</w:t>
      </w:r>
      <w:r w:rsidR="0098166B" w:rsidRPr="00120C7F">
        <w:rPr>
          <w:rFonts w:ascii="Tahoma" w:hAnsi="Tahoma" w:cs="Tahoma"/>
        </w:rPr>
        <w:t xml:space="preserve"> </w:t>
      </w:r>
      <w:r w:rsidR="001658AC" w:rsidRPr="00120C7F">
        <w:rPr>
          <w:rFonts w:ascii="Tahoma" w:hAnsi="Tahoma" w:cs="Tahoma"/>
        </w:rPr>
        <w:t>by more than the d</w:t>
      </w:r>
      <w:r w:rsidR="001658AC" w:rsidRPr="00120C7F">
        <w:rPr>
          <w:rFonts w:ascii="Tahoma" w:hAnsi="Tahoma" w:cs="Tahoma"/>
        </w:rPr>
        <w:t>e</w:t>
      </w:r>
      <w:r w:rsidR="001658AC" w:rsidRPr="00120C7F">
        <w:rPr>
          <w:rFonts w:ascii="Tahoma" w:hAnsi="Tahoma" w:cs="Tahoma"/>
        </w:rPr>
        <w:t xml:space="preserve">crease in employment.  </w:t>
      </w:r>
      <w:r w:rsidR="00CD744A" w:rsidRPr="00120C7F">
        <w:rPr>
          <w:rFonts w:ascii="Tahoma" w:hAnsi="Tahoma" w:cs="Tahoma"/>
        </w:rPr>
        <w:t>However,</w:t>
      </w:r>
      <w:r w:rsidR="0098166B" w:rsidRPr="00120C7F">
        <w:rPr>
          <w:rFonts w:ascii="Tahoma" w:hAnsi="Tahoma" w:cs="Tahoma"/>
        </w:rPr>
        <w:t xml:space="preserve"> in the first three quarters</w:t>
      </w:r>
      <w:r w:rsidR="00623F37" w:rsidRPr="00120C7F">
        <w:rPr>
          <w:rFonts w:ascii="Tahoma" w:hAnsi="Tahoma" w:cs="Tahoma"/>
        </w:rPr>
        <w:t xml:space="preserve"> of 2014 and </w:t>
      </w:r>
      <w:r w:rsidR="000D3771">
        <w:rPr>
          <w:rFonts w:ascii="Tahoma" w:hAnsi="Tahoma" w:cs="Tahoma"/>
        </w:rPr>
        <w:t xml:space="preserve">the </w:t>
      </w:r>
      <w:r w:rsidR="001C3434">
        <w:rPr>
          <w:rFonts w:ascii="Tahoma" w:hAnsi="Tahoma" w:cs="Tahoma"/>
        </w:rPr>
        <w:t>1st</w:t>
      </w:r>
      <w:r w:rsidR="00623F37" w:rsidRPr="00120C7F">
        <w:rPr>
          <w:rFonts w:ascii="Tahoma" w:hAnsi="Tahoma" w:cs="Tahoma"/>
        </w:rPr>
        <w:t xml:space="preserve"> quarter </w:t>
      </w:r>
      <w:r w:rsidR="000D3771">
        <w:rPr>
          <w:rFonts w:ascii="Tahoma" w:hAnsi="Tahoma" w:cs="Tahoma"/>
        </w:rPr>
        <w:t xml:space="preserve">of </w:t>
      </w:r>
      <w:r w:rsidR="00623F37" w:rsidRPr="00120C7F">
        <w:rPr>
          <w:rFonts w:ascii="Tahoma" w:hAnsi="Tahoma" w:cs="Tahoma"/>
        </w:rPr>
        <w:t>2015</w:t>
      </w:r>
      <w:r w:rsidR="0098166B" w:rsidRPr="00120C7F">
        <w:rPr>
          <w:rFonts w:ascii="Tahoma" w:hAnsi="Tahoma" w:cs="Tahoma"/>
        </w:rPr>
        <w:t xml:space="preserve"> </w:t>
      </w:r>
      <w:r w:rsidR="00880934" w:rsidRPr="00120C7F">
        <w:rPr>
          <w:rFonts w:ascii="Tahoma" w:hAnsi="Tahoma" w:cs="Tahoma"/>
        </w:rPr>
        <w:t xml:space="preserve">employment </w:t>
      </w:r>
      <w:r w:rsidR="000D3771">
        <w:rPr>
          <w:rFonts w:ascii="Tahoma" w:hAnsi="Tahoma" w:cs="Tahoma"/>
        </w:rPr>
        <w:t xml:space="preserve">growth </w:t>
      </w:r>
      <w:r w:rsidR="00880934" w:rsidRPr="00120C7F">
        <w:rPr>
          <w:rFonts w:ascii="Tahoma" w:hAnsi="Tahoma" w:cs="Tahoma"/>
        </w:rPr>
        <w:t>e</w:t>
      </w:r>
      <w:r w:rsidR="00880934" w:rsidRPr="00120C7F">
        <w:rPr>
          <w:rFonts w:ascii="Tahoma" w:hAnsi="Tahoma" w:cs="Tahoma"/>
        </w:rPr>
        <w:t>x</w:t>
      </w:r>
      <w:r w:rsidR="00880934" w:rsidRPr="00120C7F">
        <w:rPr>
          <w:rFonts w:ascii="Tahoma" w:hAnsi="Tahoma" w:cs="Tahoma"/>
        </w:rPr>
        <w:t xml:space="preserve">ceeded </w:t>
      </w:r>
      <w:r w:rsidR="000D3771">
        <w:rPr>
          <w:rFonts w:ascii="Tahoma" w:hAnsi="Tahoma" w:cs="Tahoma"/>
        </w:rPr>
        <w:t xml:space="preserve">positive </w:t>
      </w:r>
      <w:r w:rsidR="00880934" w:rsidRPr="00120C7F">
        <w:rPr>
          <w:rFonts w:ascii="Tahoma" w:hAnsi="Tahoma" w:cs="Tahoma"/>
        </w:rPr>
        <w:t xml:space="preserve">growth in the labor </w:t>
      </w:r>
      <w:r w:rsidR="000D3771">
        <w:rPr>
          <w:rFonts w:ascii="Tahoma" w:hAnsi="Tahoma" w:cs="Tahoma"/>
        </w:rPr>
        <w:t>force.</w:t>
      </w:r>
      <w:r w:rsidR="00880934" w:rsidRPr="00120C7F">
        <w:rPr>
          <w:rFonts w:ascii="Tahoma" w:hAnsi="Tahoma" w:cs="Tahoma"/>
        </w:rPr>
        <w:t xml:space="preserve"> </w:t>
      </w:r>
      <w:r w:rsidR="00623F37" w:rsidRPr="00120C7F">
        <w:rPr>
          <w:rFonts w:ascii="Tahoma" w:hAnsi="Tahoma" w:cs="Tahoma"/>
        </w:rPr>
        <w:t xml:space="preserve"> </w:t>
      </w:r>
      <w:r w:rsidR="009B3EA0" w:rsidRPr="00120C7F">
        <w:rPr>
          <w:rFonts w:ascii="Tahoma" w:hAnsi="Tahoma" w:cs="Tahoma"/>
        </w:rPr>
        <w:t xml:space="preserve"> </w:t>
      </w:r>
    </w:p>
    <w:p w:rsidR="00677A45" w:rsidRDefault="00490C1B" w:rsidP="00677A45">
      <w:pPr>
        <w:tabs>
          <w:tab w:val="left" w:pos="540"/>
          <w:tab w:val="left" w:pos="2250"/>
        </w:tabs>
        <w:spacing w:after="0"/>
        <w:jc w:val="both"/>
        <w:rPr>
          <w:rFonts w:ascii="Tahoma" w:hAnsi="Tahoma" w:cs="Tahoma"/>
        </w:rPr>
      </w:pPr>
      <w:r w:rsidRPr="00120C7F">
        <w:rPr>
          <w:rFonts w:ascii="Tahoma" w:hAnsi="Tahoma" w:cs="Tahoma"/>
        </w:rPr>
        <w:tab/>
      </w:r>
      <w:r w:rsidR="00D471BA" w:rsidRPr="00120C7F">
        <w:rPr>
          <w:rFonts w:ascii="Tahoma" w:hAnsi="Tahoma" w:cs="Tahoma"/>
        </w:rPr>
        <w:t>Change</w:t>
      </w:r>
      <w:r w:rsidR="00677A45">
        <w:rPr>
          <w:rFonts w:ascii="Tahoma" w:hAnsi="Tahoma" w:cs="Tahoma"/>
        </w:rPr>
        <w:t>s</w:t>
      </w:r>
      <w:r w:rsidR="000D3771">
        <w:rPr>
          <w:rFonts w:ascii="Tahoma" w:hAnsi="Tahoma" w:cs="Tahoma"/>
        </w:rPr>
        <w:t xml:space="preserve"> </w:t>
      </w:r>
      <w:r w:rsidR="00D471BA" w:rsidRPr="00120C7F">
        <w:rPr>
          <w:rFonts w:ascii="Tahoma" w:hAnsi="Tahoma" w:cs="Tahoma"/>
        </w:rPr>
        <w:t>in the labor force</w:t>
      </w:r>
      <w:r w:rsidR="00DC02E7" w:rsidRPr="00120C7F">
        <w:rPr>
          <w:rFonts w:ascii="Tahoma" w:hAnsi="Tahoma" w:cs="Tahoma"/>
        </w:rPr>
        <w:t xml:space="preserve"> due to regional migration as </w:t>
      </w:r>
      <w:r w:rsidR="009B3EA0" w:rsidRPr="00120C7F">
        <w:rPr>
          <w:rFonts w:ascii="Tahoma" w:hAnsi="Tahoma" w:cs="Tahoma"/>
        </w:rPr>
        <w:t>w</w:t>
      </w:r>
      <w:r w:rsidR="00DC02E7" w:rsidRPr="00120C7F">
        <w:rPr>
          <w:rFonts w:ascii="Tahoma" w:hAnsi="Tahoma" w:cs="Tahoma"/>
        </w:rPr>
        <w:t xml:space="preserve">ell as the labor participation rate </w:t>
      </w:r>
      <w:r w:rsidR="00D471BA" w:rsidRPr="00120C7F">
        <w:rPr>
          <w:rFonts w:ascii="Tahoma" w:hAnsi="Tahoma" w:cs="Tahoma"/>
        </w:rPr>
        <w:t xml:space="preserve">make it difficult to rely solely on the unemployment rate to measure cyclical performance. </w:t>
      </w:r>
      <w:r w:rsidRPr="00120C7F">
        <w:rPr>
          <w:rFonts w:ascii="Tahoma" w:hAnsi="Tahoma" w:cs="Tahoma"/>
        </w:rPr>
        <w:t xml:space="preserve">  This is especially true in Texas w</w:t>
      </w:r>
      <w:r w:rsidR="00CB4DD9">
        <w:rPr>
          <w:rFonts w:ascii="Tahoma" w:hAnsi="Tahoma" w:cs="Tahoma"/>
        </w:rPr>
        <w:t>h</w:t>
      </w:r>
      <w:r w:rsidRPr="00120C7F">
        <w:rPr>
          <w:rFonts w:ascii="Tahoma" w:hAnsi="Tahoma" w:cs="Tahoma"/>
        </w:rPr>
        <w:t>ere economic growth has occurred mo</w:t>
      </w:r>
      <w:r w:rsidR="00B8172B" w:rsidRPr="00120C7F">
        <w:rPr>
          <w:rFonts w:ascii="Tahoma" w:hAnsi="Tahoma" w:cs="Tahoma"/>
        </w:rPr>
        <w:t>re</w:t>
      </w:r>
      <w:r w:rsidRPr="00120C7F">
        <w:rPr>
          <w:rFonts w:ascii="Tahoma" w:hAnsi="Tahoma" w:cs="Tahoma"/>
        </w:rPr>
        <w:t xml:space="preserve"> rapidly in oil producing areas.  </w:t>
      </w:r>
    </w:p>
    <w:p w:rsidR="00F560AB" w:rsidRDefault="00677A45" w:rsidP="00677A45">
      <w:pPr>
        <w:tabs>
          <w:tab w:val="left" w:pos="540"/>
          <w:tab w:val="left" w:pos="2250"/>
        </w:tabs>
        <w:spacing w:after="0"/>
        <w:jc w:val="both"/>
        <w:rPr>
          <w:rFonts w:ascii="Tahoma" w:hAnsi="Tahoma" w:cs="Tahoma"/>
        </w:rPr>
      </w:pPr>
      <w:r>
        <w:rPr>
          <w:rFonts w:ascii="Tahoma" w:hAnsi="Tahoma" w:cs="Tahoma"/>
        </w:rPr>
        <w:tab/>
      </w:r>
      <w:r w:rsidR="00F560AB" w:rsidRPr="00120C7F">
        <w:rPr>
          <w:rFonts w:ascii="Tahoma" w:hAnsi="Tahoma" w:cs="Tahoma"/>
          <w:noProof/>
        </w:rPr>
        <mc:AlternateContent>
          <mc:Choice Requires="wps">
            <w:drawing>
              <wp:anchor distT="0" distB="0" distL="114300" distR="114300" simplePos="0" relativeHeight="251659264" behindDoc="0" locked="0" layoutInCell="0" allowOverlap="1" wp14:anchorId="34B3AC1C" wp14:editId="6BDE7F8B">
                <wp:simplePos x="0" y="0"/>
                <wp:positionH relativeFrom="page">
                  <wp:posOffset>1101090</wp:posOffset>
                </wp:positionH>
                <wp:positionV relativeFrom="page">
                  <wp:posOffset>5694045</wp:posOffset>
                </wp:positionV>
                <wp:extent cx="4274185" cy="3580130"/>
                <wp:effectExtent l="0" t="0" r="0" b="127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3580130"/>
                        </a:xfrm>
                        <a:prstGeom prst="rect">
                          <a:avLst/>
                        </a:prstGeom>
                        <a:ln w="6350">
                          <a:noFill/>
                          <a:headEnd/>
                          <a:tailEnd/>
                        </a:ln>
                        <a:extLst/>
                      </wps:spPr>
                      <wps:style>
                        <a:lnRef idx="2">
                          <a:schemeClr val="dk1"/>
                        </a:lnRef>
                        <a:fillRef idx="1">
                          <a:schemeClr val="lt1"/>
                        </a:fillRef>
                        <a:effectRef idx="0">
                          <a:schemeClr val="dk1"/>
                        </a:effectRef>
                        <a:fontRef idx="minor">
                          <a:schemeClr val="dk1"/>
                        </a:fontRef>
                      </wps:style>
                      <wps:txbx>
                        <w:txbxContent>
                          <w:p w:rsidR="00D837DA" w:rsidRPr="00DE0EF5" w:rsidRDefault="00D837DA" w:rsidP="00630F81">
                            <w:pPr>
                              <w:spacing w:after="0" w:line="240" w:lineRule="auto"/>
                              <w:ind w:left="180" w:hanging="270"/>
                              <w:jc w:val="center"/>
                              <w:rPr>
                                <w:rFonts w:ascii="Tahoma" w:eastAsiaTheme="majorEastAsia" w:hAnsi="Tahoma" w:cs="Tahoma"/>
                                <w:iCs/>
                              </w:rPr>
                            </w:pPr>
                            <w:r w:rsidRPr="00DE0EF5">
                              <w:rPr>
                                <w:rFonts w:ascii="Tahoma" w:eastAsiaTheme="majorEastAsia" w:hAnsi="Tahoma" w:cs="Tahoma"/>
                                <w:iCs/>
                              </w:rPr>
                              <w:t>Table 1</w:t>
                            </w:r>
                          </w:p>
                          <w:p w:rsidR="00D837DA" w:rsidRDefault="00D837DA" w:rsidP="00120C7F">
                            <w:pPr>
                              <w:tabs>
                                <w:tab w:val="left" w:pos="180"/>
                              </w:tabs>
                              <w:spacing w:after="0" w:line="240" w:lineRule="auto"/>
                              <w:ind w:left="180"/>
                              <w:jc w:val="center"/>
                              <w:rPr>
                                <w:rFonts w:ascii="Tahoma" w:eastAsiaTheme="majorEastAsia" w:hAnsi="Tahoma" w:cs="Tahoma"/>
                                <w:iCs/>
                              </w:rPr>
                            </w:pPr>
                            <w:r w:rsidRPr="00120C7F">
                              <w:rPr>
                                <w:rFonts w:ascii="Tahoma" w:eastAsiaTheme="majorEastAsia" w:hAnsi="Tahoma" w:cs="Tahoma"/>
                                <w:iCs/>
                              </w:rPr>
                              <w:t>Waco MSA Annual Percent Change in Seasonally-Adjusted</w:t>
                            </w:r>
                          </w:p>
                          <w:p w:rsidR="00D837DA" w:rsidRPr="00120C7F" w:rsidRDefault="00D837DA" w:rsidP="00120C7F">
                            <w:pPr>
                              <w:tabs>
                                <w:tab w:val="left" w:pos="180"/>
                              </w:tabs>
                              <w:spacing w:after="0" w:line="240" w:lineRule="auto"/>
                              <w:ind w:left="180"/>
                              <w:jc w:val="center"/>
                              <w:rPr>
                                <w:rFonts w:ascii="Tahoma" w:eastAsiaTheme="majorEastAsia" w:hAnsi="Tahoma" w:cs="Tahoma"/>
                                <w:iCs/>
                              </w:rPr>
                            </w:pPr>
                            <w:r w:rsidRPr="00120C7F">
                              <w:rPr>
                                <w:rFonts w:ascii="Tahoma" w:eastAsiaTheme="majorEastAsia" w:hAnsi="Tahoma" w:cs="Tahoma"/>
                                <w:iCs/>
                              </w:rPr>
                              <w:t>Labor Force and Employment, and the Unemployment Rate</w:t>
                            </w:r>
                          </w:p>
                          <w:p w:rsidR="00D837DA" w:rsidRPr="00120C7F" w:rsidRDefault="00D837DA" w:rsidP="00120C7F">
                            <w:pPr>
                              <w:spacing w:after="0" w:line="240" w:lineRule="auto"/>
                              <w:ind w:left="180"/>
                              <w:jc w:val="center"/>
                              <w:rPr>
                                <w:rFonts w:ascii="Tahoma" w:eastAsiaTheme="majorEastAsia" w:hAnsi="Tahoma" w:cs="Tahoma"/>
                                <w:iCs/>
                              </w:rPr>
                            </w:pPr>
                          </w:p>
                          <w:tbl>
                            <w:tblPr>
                              <w:tblW w:w="6030" w:type="dxa"/>
                              <w:tblInd w:w="288" w:type="dxa"/>
                              <w:tblLook w:val="04A0" w:firstRow="1" w:lastRow="0" w:firstColumn="1" w:lastColumn="0" w:noHBand="0" w:noVBand="1"/>
                            </w:tblPr>
                            <w:tblGrid>
                              <w:gridCol w:w="1308"/>
                              <w:gridCol w:w="1572"/>
                              <w:gridCol w:w="1620"/>
                              <w:gridCol w:w="1530"/>
                            </w:tblGrid>
                            <w:tr w:rsidR="00D837DA" w:rsidRPr="00120C7F" w:rsidTr="001C3434">
                              <w:trPr>
                                <w:trHeight w:val="640"/>
                              </w:trPr>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7DA" w:rsidRPr="00120C7F" w:rsidRDefault="00D837DA" w:rsidP="00630F81">
                                  <w:pPr>
                                    <w:spacing w:after="0" w:line="240" w:lineRule="auto"/>
                                    <w:ind w:left="180"/>
                                    <w:jc w:val="center"/>
                                    <w:rPr>
                                      <w:rFonts w:ascii="Tahoma" w:eastAsia="Times New Roman" w:hAnsi="Tahoma" w:cs="Tahoma"/>
                                      <w:color w:val="000000"/>
                                    </w:rPr>
                                  </w:pPr>
                                  <w:r w:rsidRPr="00120C7F">
                                    <w:rPr>
                                      <w:rFonts w:ascii="Tahoma" w:eastAsia="Times New Roman" w:hAnsi="Tahoma" w:cs="Tahoma"/>
                                      <w:color w:val="000000"/>
                                    </w:rPr>
                                    <w:t>Year.Qtr</w:t>
                                  </w:r>
                                </w:p>
                              </w:tc>
                              <w:tc>
                                <w:tcPr>
                                  <w:tcW w:w="1572" w:type="dxa"/>
                                  <w:tcBorders>
                                    <w:top w:val="single" w:sz="4" w:space="0" w:color="auto"/>
                                    <w:left w:val="single" w:sz="4" w:space="0" w:color="auto"/>
                                    <w:bottom w:val="single" w:sz="4" w:space="0" w:color="auto"/>
                                    <w:right w:val="nil"/>
                                  </w:tcBorders>
                                  <w:shd w:val="clear" w:color="auto" w:fill="auto"/>
                                  <w:noWrap/>
                                  <w:vAlign w:val="bottom"/>
                                  <w:hideMark/>
                                </w:tcPr>
                                <w:p w:rsidR="00D837DA" w:rsidRPr="00120C7F" w:rsidRDefault="00D837DA" w:rsidP="00630F81">
                                  <w:pPr>
                                    <w:spacing w:after="0" w:line="240" w:lineRule="auto"/>
                                    <w:ind w:left="180"/>
                                    <w:jc w:val="center"/>
                                    <w:rPr>
                                      <w:rFonts w:ascii="Tahoma" w:eastAsia="Times New Roman" w:hAnsi="Tahoma" w:cs="Tahoma"/>
                                      <w:color w:val="000000"/>
                                    </w:rPr>
                                  </w:pPr>
                                  <w:r w:rsidRPr="00120C7F">
                                    <w:rPr>
                                      <w:rFonts w:ascii="Tahoma" w:eastAsia="Times New Roman" w:hAnsi="Tahoma" w:cs="Tahoma"/>
                                      <w:color w:val="000000"/>
                                    </w:rPr>
                                    <w:t>Labor Force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7DA" w:rsidRPr="00120C7F" w:rsidRDefault="00D837DA" w:rsidP="00630F81">
                                  <w:pPr>
                                    <w:spacing w:after="0" w:line="240" w:lineRule="auto"/>
                                    <w:ind w:left="180"/>
                                    <w:jc w:val="center"/>
                                    <w:rPr>
                                      <w:rFonts w:ascii="Tahoma" w:eastAsia="Times New Roman" w:hAnsi="Tahoma" w:cs="Tahoma"/>
                                      <w:color w:val="000000"/>
                                    </w:rPr>
                                  </w:pPr>
                                  <w:r w:rsidRPr="00120C7F">
                                    <w:rPr>
                                      <w:rFonts w:ascii="Tahoma" w:eastAsia="Times New Roman" w:hAnsi="Tahoma" w:cs="Tahoma"/>
                                      <w:color w:val="000000"/>
                                    </w:rPr>
                                    <w:t>Employment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D837DA" w:rsidRPr="00120C7F" w:rsidRDefault="00D837DA" w:rsidP="00DE0EF5">
                                  <w:pPr>
                                    <w:spacing w:after="0" w:line="240" w:lineRule="auto"/>
                                    <w:ind w:left="180"/>
                                    <w:rPr>
                                      <w:rFonts w:ascii="Tahoma" w:eastAsia="Times New Roman" w:hAnsi="Tahoma" w:cs="Tahoma"/>
                                      <w:color w:val="000000"/>
                                    </w:rPr>
                                  </w:pPr>
                                  <w:r w:rsidRPr="00120C7F">
                                    <w:rPr>
                                      <w:rFonts w:ascii="Tahoma" w:eastAsia="Times New Roman" w:hAnsi="Tahoma" w:cs="Tahoma"/>
                                      <w:color w:val="000000"/>
                                    </w:rPr>
                                    <w:t>Unempl</w:t>
                                  </w:r>
                                  <w:r>
                                    <w:rPr>
                                      <w:rFonts w:ascii="Tahoma" w:eastAsia="Times New Roman" w:hAnsi="Tahoma" w:cs="Tahoma"/>
                                      <w:color w:val="000000"/>
                                    </w:rPr>
                                    <w:t>oy-</w:t>
                                  </w:r>
                                  <w:r w:rsidRPr="00120C7F">
                                    <w:rPr>
                                      <w:rFonts w:ascii="Tahoma" w:eastAsia="Times New Roman" w:hAnsi="Tahoma" w:cs="Tahoma"/>
                                      <w:color w:val="000000"/>
                                    </w:rPr>
                                    <w:t xml:space="preserve"> </w:t>
                                  </w:r>
                                  <w:r>
                                    <w:rPr>
                                      <w:rFonts w:ascii="Tahoma" w:eastAsia="Times New Roman" w:hAnsi="Tahoma" w:cs="Tahoma"/>
                                      <w:color w:val="000000"/>
                                    </w:rPr>
                                    <w:t xml:space="preserve">ment </w:t>
                                  </w:r>
                                  <w:r w:rsidRPr="00120C7F">
                                    <w:rPr>
                                      <w:rFonts w:ascii="Tahoma" w:eastAsia="Times New Roman" w:hAnsi="Tahoma" w:cs="Tahoma"/>
                                      <w:color w:val="000000"/>
                                    </w:rPr>
                                    <w:t>Rate</w:t>
                                  </w:r>
                                </w:p>
                              </w:tc>
                            </w:tr>
                            <w:tr w:rsidR="00D837DA" w:rsidRPr="00120C7F" w:rsidTr="001C3434">
                              <w:trPr>
                                <w:trHeight w:val="361"/>
                              </w:trPr>
                              <w:tc>
                                <w:tcPr>
                                  <w:tcW w:w="1308"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2013.1</w:t>
                                  </w:r>
                                </w:p>
                              </w:tc>
                              <w:tc>
                                <w:tcPr>
                                  <w:tcW w:w="1572" w:type="dxa"/>
                                  <w:tcBorders>
                                    <w:top w:val="nil"/>
                                    <w:left w:val="nil"/>
                                    <w:bottom w:val="nil"/>
                                    <w:right w:val="nil"/>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-0.1</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-0.2</w:t>
                                  </w:r>
                                </w:p>
                              </w:tc>
                              <w:tc>
                                <w:tcPr>
                                  <w:tcW w:w="1530" w:type="dxa"/>
                                  <w:tcBorders>
                                    <w:top w:val="nil"/>
                                    <w:left w:val="nil"/>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6.8</w:t>
                                  </w:r>
                                </w:p>
                              </w:tc>
                            </w:tr>
                            <w:tr w:rsidR="00D837DA" w:rsidRPr="00120C7F" w:rsidTr="001C3434">
                              <w:trPr>
                                <w:trHeight w:val="344"/>
                              </w:trPr>
                              <w:tc>
                                <w:tcPr>
                                  <w:tcW w:w="1308"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2013.2</w:t>
                                  </w:r>
                                </w:p>
                              </w:tc>
                              <w:tc>
                                <w:tcPr>
                                  <w:tcW w:w="1572" w:type="dxa"/>
                                  <w:tcBorders>
                                    <w:top w:val="nil"/>
                                    <w:left w:val="nil"/>
                                    <w:bottom w:val="nil"/>
                                    <w:right w:val="nil"/>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 xml:space="preserve"> 0.8</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 xml:space="preserve"> 1.0</w:t>
                                  </w:r>
                                </w:p>
                              </w:tc>
                              <w:tc>
                                <w:tcPr>
                                  <w:tcW w:w="1530" w:type="dxa"/>
                                  <w:tcBorders>
                                    <w:top w:val="nil"/>
                                    <w:left w:val="nil"/>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6.7</w:t>
                                  </w:r>
                                </w:p>
                              </w:tc>
                            </w:tr>
                            <w:tr w:rsidR="00D837DA" w:rsidRPr="00120C7F" w:rsidTr="001C3434">
                              <w:trPr>
                                <w:trHeight w:val="380"/>
                              </w:trPr>
                              <w:tc>
                                <w:tcPr>
                                  <w:tcW w:w="1308"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2013.3</w:t>
                                  </w:r>
                                </w:p>
                              </w:tc>
                              <w:tc>
                                <w:tcPr>
                                  <w:tcW w:w="1572" w:type="dxa"/>
                                  <w:tcBorders>
                                    <w:top w:val="nil"/>
                                    <w:left w:val="nil"/>
                                    <w:bottom w:val="nil"/>
                                    <w:right w:val="nil"/>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-0.4</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-0.4</w:t>
                                  </w:r>
                                </w:p>
                              </w:tc>
                              <w:tc>
                                <w:tcPr>
                                  <w:tcW w:w="1530" w:type="dxa"/>
                                  <w:tcBorders>
                                    <w:top w:val="nil"/>
                                    <w:left w:val="nil"/>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6.6</w:t>
                                  </w:r>
                                </w:p>
                              </w:tc>
                            </w:tr>
                            <w:tr w:rsidR="00D837DA" w:rsidRPr="00120C7F" w:rsidTr="001C3434">
                              <w:trPr>
                                <w:trHeight w:val="353"/>
                              </w:trPr>
                              <w:tc>
                                <w:tcPr>
                                  <w:tcW w:w="1308"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2013.4</w:t>
                                  </w:r>
                                </w:p>
                              </w:tc>
                              <w:tc>
                                <w:tcPr>
                                  <w:tcW w:w="1572" w:type="dxa"/>
                                  <w:tcBorders>
                                    <w:top w:val="nil"/>
                                    <w:left w:val="nil"/>
                                    <w:bottom w:val="nil"/>
                                    <w:right w:val="nil"/>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-1.1</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-0.7</w:t>
                                  </w:r>
                                </w:p>
                              </w:tc>
                              <w:tc>
                                <w:tcPr>
                                  <w:tcW w:w="1530" w:type="dxa"/>
                                  <w:tcBorders>
                                    <w:top w:val="nil"/>
                                    <w:left w:val="nil"/>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6.2</w:t>
                                  </w:r>
                                </w:p>
                              </w:tc>
                            </w:tr>
                            <w:tr w:rsidR="00D837DA" w:rsidRPr="00120C7F" w:rsidTr="00F560AB">
                              <w:trPr>
                                <w:trHeight w:val="333"/>
                              </w:trPr>
                              <w:tc>
                                <w:tcPr>
                                  <w:tcW w:w="1308"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2014.1</w:t>
                                  </w:r>
                                </w:p>
                              </w:tc>
                              <w:tc>
                                <w:tcPr>
                                  <w:tcW w:w="1572" w:type="dxa"/>
                                  <w:tcBorders>
                                    <w:top w:val="nil"/>
                                    <w:left w:val="nil"/>
                                    <w:bottom w:val="nil"/>
                                    <w:right w:val="nil"/>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 xml:space="preserve"> 0.8</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 xml:space="preserve"> 1.2</w:t>
                                  </w:r>
                                </w:p>
                              </w:tc>
                              <w:tc>
                                <w:tcPr>
                                  <w:tcW w:w="1530" w:type="dxa"/>
                                  <w:tcBorders>
                                    <w:top w:val="nil"/>
                                    <w:left w:val="nil"/>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5.8</w:t>
                                  </w:r>
                                </w:p>
                              </w:tc>
                            </w:tr>
                            <w:tr w:rsidR="00D837DA" w:rsidRPr="00120C7F" w:rsidTr="00F560AB">
                              <w:trPr>
                                <w:trHeight w:val="369"/>
                              </w:trPr>
                              <w:tc>
                                <w:tcPr>
                                  <w:tcW w:w="1308"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2014.2</w:t>
                                  </w:r>
                                </w:p>
                              </w:tc>
                              <w:tc>
                                <w:tcPr>
                                  <w:tcW w:w="1572" w:type="dxa"/>
                                  <w:tcBorders>
                                    <w:top w:val="nil"/>
                                    <w:left w:val="nil"/>
                                    <w:bottom w:val="nil"/>
                                    <w:right w:val="nil"/>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 xml:space="preserve"> 0.1</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 xml:space="preserve"> 0.5</w:t>
                                  </w:r>
                                </w:p>
                              </w:tc>
                              <w:tc>
                                <w:tcPr>
                                  <w:tcW w:w="1530" w:type="dxa"/>
                                  <w:tcBorders>
                                    <w:top w:val="nil"/>
                                    <w:left w:val="nil"/>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5.4</w:t>
                                  </w:r>
                                </w:p>
                              </w:tc>
                            </w:tr>
                            <w:tr w:rsidR="00D837DA" w:rsidRPr="00120C7F" w:rsidTr="00F560AB">
                              <w:trPr>
                                <w:trHeight w:val="360"/>
                              </w:trPr>
                              <w:tc>
                                <w:tcPr>
                                  <w:tcW w:w="1308"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2014.3</w:t>
                                  </w:r>
                                </w:p>
                              </w:tc>
                              <w:tc>
                                <w:tcPr>
                                  <w:tcW w:w="1572" w:type="dxa"/>
                                  <w:tcBorders>
                                    <w:top w:val="nil"/>
                                    <w:left w:val="nil"/>
                                    <w:bottom w:val="nil"/>
                                    <w:right w:val="nil"/>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 xml:space="preserve"> 0.4</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 xml:space="preserve"> 0.2</w:t>
                                  </w:r>
                                </w:p>
                              </w:tc>
                              <w:tc>
                                <w:tcPr>
                                  <w:tcW w:w="1530" w:type="dxa"/>
                                  <w:tcBorders>
                                    <w:top w:val="nil"/>
                                    <w:left w:val="nil"/>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5.6</w:t>
                                  </w:r>
                                </w:p>
                              </w:tc>
                            </w:tr>
                            <w:tr w:rsidR="00D837DA" w:rsidRPr="00120C7F" w:rsidTr="00F560AB">
                              <w:trPr>
                                <w:trHeight w:val="360"/>
                              </w:trPr>
                              <w:tc>
                                <w:tcPr>
                                  <w:tcW w:w="1308"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2014.4</w:t>
                                  </w:r>
                                </w:p>
                              </w:tc>
                              <w:tc>
                                <w:tcPr>
                                  <w:tcW w:w="1572" w:type="dxa"/>
                                  <w:tcBorders>
                                    <w:top w:val="nil"/>
                                    <w:left w:val="nil"/>
                                    <w:bottom w:val="nil"/>
                                    <w:right w:val="nil"/>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-0.8</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-0.1</w:t>
                                  </w:r>
                                </w:p>
                              </w:tc>
                              <w:tc>
                                <w:tcPr>
                                  <w:tcW w:w="1530" w:type="dxa"/>
                                  <w:tcBorders>
                                    <w:top w:val="nil"/>
                                    <w:left w:val="nil"/>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4.8</w:t>
                                  </w:r>
                                </w:p>
                              </w:tc>
                            </w:tr>
                            <w:tr w:rsidR="00D837DA" w:rsidRPr="00120C7F" w:rsidTr="00F560AB">
                              <w:trPr>
                                <w:trHeight w:val="369"/>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2015.1</w:t>
                                  </w:r>
                                </w:p>
                              </w:tc>
                              <w:tc>
                                <w:tcPr>
                                  <w:tcW w:w="1572" w:type="dxa"/>
                                  <w:tcBorders>
                                    <w:top w:val="nil"/>
                                    <w:left w:val="single" w:sz="4" w:space="0" w:color="auto"/>
                                    <w:bottom w:val="single" w:sz="4" w:space="0" w:color="auto"/>
                                    <w:right w:val="nil"/>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 xml:space="preserve"> 0.3</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 xml:space="preserve"> 0.7</w:t>
                                  </w:r>
                                </w:p>
                              </w:tc>
                              <w:tc>
                                <w:tcPr>
                                  <w:tcW w:w="1530" w:type="dxa"/>
                                  <w:tcBorders>
                                    <w:top w:val="nil"/>
                                    <w:left w:val="nil"/>
                                    <w:bottom w:val="single" w:sz="4" w:space="0" w:color="auto"/>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4.4</w:t>
                                  </w:r>
                                </w:p>
                              </w:tc>
                            </w:tr>
                          </w:tbl>
                          <w:p w:rsidR="00D837DA" w:rsidRPr="00CA2D62" w:rsidRDefault="00D837DA" w:rsidP="00630F81">
                            <w:pPr>
                              <w:spacing w:after="0"/>
                              <w:ind w:left="180"/>
                              <w:rPr>
                                <w:rFonts w:ascii="Tahoma" w:hAnsi="Tahoma" w:cs="Tahoma"/>
                                <w:sz w:val="18"/>
                                <w:szCs w:val="18"/>
                              </w:rPr>
                            </w:pPr>
                            <w:r w:rsidRPr="00CA2D62">
                              <w:rPr>
                                <w:rFonts w:ascii="Tahoma" w:hAnsi="Tahoma" w:cs="Tahoma"/>
                                <w:sz w:val="18"/>
                                <w:szCs w:val="18"/>
                              </w:rPr>
                              <w:t>Source:  U.S. Bureau of Labor Statistics</w:t>
                            </w:r>
                          </w:p>
                          <w:p w:rsidR="00D837DA" w:rsidRPr="00CA2D62" w:rsidRDefault="00D837DA" w:rsidP="00630F81">
                            <w:pPr>
                              <w:spacing w:after="0" w:line="360" w:lineRule="auto"/>
                              <w:ind w:left="180"/>
                              <w:jc w:val="center"/>
                              <w:rPr>
                                <w:rFonts w:ascii="Tahoma" w:eastAsiaTheme="majorEastAsia" w:hAnsi="Tahoma" w:cs="Tahoma"/>
                                <w:iCs/>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7pt;margin-top:448.35pt;width:336.55pt;height:2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" o:allowincell="f" fillcolor="white [3201]" stroked="f" strokeweight=".5pt">
                <v:textbox inset="10.8pt,7.2pt,10.8pt,7.2pt">
                  <w:txbxContent>
                    <w:p w:rsidR="00D837DA" w:rsidRPr="00DE0EF5" w:rsidRDefault="00D837DA" w:rsidP="00630F81">
                      <w:pPr>
                        <w:spacing w:after="0" w:line="240" w:lineRule="auto"/>
                        <w:ind w:left="180" w:hanging="270"/>
                        <w:jc w:val="center"/>
                        <w:rPr>
                          <w:rFonts w:ascii="Tahoma" w:eastAsiaTheme="majorEastAsia" w:hAnsi="Tahoma" w:cs="Tahoma"/>
                          <w:iCs/>
                        </w:rPr>
                      </w:pPr>
                      <w:r w:rsidRPr="00DE0EF5">
                        <w:rPr>
                          <w:rFonts w:ascii="Tahoma" w:eastAsiaTheme="majorEastAsia" w:hAnsi="Tahoma" w:cs="Tahoma"/>
                          <w:iCs/>
                        </w:rPr>
                        <w:t>Table 1</w:t>
                      </w:r>
                    </w:p>
                    <w:p w:rsidR="00D837DA" w:rsidRDefault="00D837DA" w:rsidP="00120C7F">
                      <w:pPr>
                        <w:tabs>
                          <w:tab w:val="left" w:pos="180"/>
                        </w:tabs>
                        <w:spacing w:after="0" w:line="240" w:lineRule="auto"/>
                        <w:ind w:left="180"/>
                        <w:jc w:val="center"/>
                        <w:rPr>
                          <w:rFonts w:ascii="Tahoma" w:eastAsiaTheme="majorEastAsia" w:hAnsi="Tahoma" w:cs="Tahoma"/>
                          <w:iCs/>
                        </w:rPr>
                      </w:pPr>
                      <w:r w:rsidRPr="00120C7F">
                        <w:rPr>
                          <w:rFonts w:ascii="Tahoma" w:eastAsiaTheme="majorEastAsia" w:hAnsi="Tahoma" w:cs="Tahoma"/>
                          <w:iCs/>
                        </w:rPr>
                        <w:t>Waco MSA Annual Percent Change in Seasonally-Adjusted</w:t>
                      </w:r>
                    </w:p>
                    <w:p w:rsidR="00D837DA" w:rsidRPr="00120C7F" w:rsidRDefault="00D837DA" w:rsidP="00120C7F">
                      <w:pPr>
                        <w:tabs>
                          <w:tab w:val="left" w:pos="180"/>
                        </w:tabs>
                        <w:spacing w:after="0" w:line="240" w:lineRule="auto"/>
                        <w:ind w:left="180"/>
                        <w:jc w:val="center"/>
                        <w:rPr>
                          <w:rFonts w:ascii="Tahoma" w:eastAsiaTheme="majorEastAsia" w:hAnsi="Tahoma" w:cs="Tahoma"/>
                          <w:iCs/>
                        </w:rPr>
                      </w:pPr>
                      <w:r w:rsidRPr="00120C7F">
                        <w:rPr>
                          <w:rFonts w:ascii="Tahoma" w:eastAsiaTheme="majorEastAsia" w:hAnsi="Tahoma" w:cs="Tahoma"/>
                          <w:iCs/>
                        </w:rPr>
                        <w:t>Labor Force and Employment, and the Unemployment Rate</w:t>
                      </w:r>
                    </w:p>
                    <w:p w:rsidR="00D837DA" w:rsidRPr="00120C7F" w:rsidRDefault="00D837DA" w:rsidP="00120C7F">
                      <w:pPr>
                        <w:spacing w:after="0" w:line="240" w:lineRule="auto"/>
                        <w:ind w:left="180"/>
                        <w:jc w:val="center"/>
                        <w:rPr>
                          <w:rFonts w:ascii="Tahoma" w:eastAsiaTheme="majorEastAsia" w:hAnsi="Tahoma" w:cs="Tahoma"/>
                          <w:iCs/>
                        </w:rPr>
                      </w:pPr>
                    </w:p>
                    <w:tbl>
                      <w:tblPr>
                        <w:tblW w:w="6030" w:type="dxa"/>
                        <w:tblInd w:w="288" w:type="dxa"/>
                        <w:tblLook w:val="04A0" w:firstRow="1" w:lastRow="0" w:firstColumn="1" w:lastColumn="0" w:noHBand="0" w:noVBand="1"/>
                      </w:tblPr>
                      <w:tblGrid>
                        <w:gridCol w:w="1308"/>
                        <w:gridCol w:w="1572"/>
                        <w:gridCol w:w="1620"/>
                        <w:gridCol w:w="1530"/>
                      </w:tblGrid>
                      <w:tr w:rsidR="00D837DA" w:rsidRPr="00120C7F" w:rsidTr="001C3434">
                        <w:trPr>
                          <w:trHeight w:val="640"/>
                        </w:trPr>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7DA" w:rsidRPr="00120C7F" w:rsidRDefault="00D837DA" w:rsidP="00630F81">
                            <w:pPr>
                              <w:spacing w:after="0" w:line="240" w:lineRule="auto"/>
                              <w:ind w:left="180"/>
                              <w:jc w:val="center"/>
                              <w:rPr>
                                <w:rFonts w:ascii="Tahoma" w:eastAsia="Times New Roman" w:hAnsi="Tahoma" w:cs="Tahoma"/>
                                <w:color w:val="000000"/>
                              </w:rPr>
                            </w:pPr>
                            <w:r w:rsidRPr="00120C7F">
                              <w:rPr>
                                <w:rFonts w:ascii="Tahoma" w:eastAsia="Times New Roman" w:hAnsi="Tahoma" w:cs="Tahoma"/>
                                <w:color w:val="000000"/>
                              </w:rPr>
                              <w:t>Year.Qtr</w:t>
                            </w:r>
                          </w:p>
                        </w:tc>
                        <w:tc>
                          <w:tcPr>
                            <w:tcW w:w="1572" w:type="dxa"/>
                            <w:tcBorders>
                              <w:top w:val="single" w:sz="4" w:space="0" w:color="auto"/>
                              <w:left w:val="single" w:sz="4" w:space="0" w:color="auto"/>
                              <w:bottom w:val="single" w:sz="4" w:space="0" w:color="auto"/>
                              <w:right w:val="nil"/>
                            </w:tcBorders>
                            <w:shd w:val="clear" w:color="auto" w:fill="auto"/>
                            <w:noWrap/>
                            <w:vAlign w:val="bottom"/>
                            <w:hideMark/>
                          </w:tcPr>
                          <w:p w:rsidR="00D837DA" w:rsidRPr="00120C7F" w:rsidRDefault="00D837DA" w:rsidP="00630F81">
                            <w:pPr>
                              <w:spacing w:after="0" w:line="240" w:lineRule="auto"/>
                              <w:ind w:left="180"/>
                              <w:jc w:val="center"/>
                              <w:rPr>
                                <w:rFonts w:ascii="Tahoma" w:eastAsia="Times New Roman" w:hAnsi="Tahoma" w:cs="Tahoma"/>
                                <w:color w:val="000000"/>
                              </w:rPr>
                            </w:pPr>
                            <w:r w:rsidRPr="00120C7F">
                              <w:rPr>
                                <w:rFonts w:ascii="Tahoma" w:eastAsia="Times New Roman" w:hAnsi="Tahoma" w:cs="Tahoma"/>
                                <w:color w:val="000000"/>
                              </w:rPr>
                              <w:t>Labor Force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7DA" w:rsidRPr="00120C7F" w:rsidRDefault="00D837DA" w:rsidP="00630F81">
                            <w:pPr>
                              <w:spacing w:after="0" w:line="240" w:lineRule="auto"/>
                              <w:ind w:left="180"/>
                              <w:jc w:val="center"/>
                              <w:rPr>
                                <w:rFonts w:ascii="Tahoma" w:eastAsia="Times New Roman" w:hAnsi="Tahoma" w:cs="Tahoma"/>
                                <w:color w:val="000000"/>
                              </w:rPr>
                            </w:pPr>
                            <w:r w:rsidRPr="00120C7F">
                              <w:rPr>
                                <w:rFonts w:ascii="Tahoma" w:eastAsia="Times New Roman" w:hAnsi="Tahoma" w:cs="Tahoma"/>
                                <w:color w:val="000000"/>
                              </w:rPr>
                              <w:t>Employment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D837DA" w:rsidRPr="00120C7F" w:rsidRDefault="00D837DA" w:rsidP="00DE0EF5">
                            <w:pPr>
                              <w:spacing w:after="0" w:line="240" w:lineRule="auto"/>
                              <w:ind w:left="180"/>
                              <w:rPr>
                                <w:rFonts w:ascii="Tahoma" w:eastAsia="Times New Roman" w:hAnsi="Tahoma" w:cs="Tahoma"/>
                                <w:color w:val="000000"/>
                              </w:rPr>
                            </w:pPr>
                            <w:r w:rsidRPr="00120C7F">
                              <w:rPr>
                                <w:rFonts w:ascii="Tahoma" w:eastAsia="Times New Roman" w:hAnsi="Tahoma" w:cs="Tahoma"/>
                                <w:color w:val="000000"/>
                              </w:rPr>
                              <w:t>Unempl</w:t>
                            </w:r>
                            <w:r>
                              <w:rPr>
                                <w:rFonts w:ascii="Tahoma" w:eastAsia="Times New Roman" w:hAnsi="Tahoma" w:cs="Tahoma"/>
                                <w:color w:val="000000"/>
                              </w:rPr>
                              <w:t>oy-</w:t>
                            </w:r>
                            <w:r w:rsidRPr="00120C7F">
                              <w:rPr>
                                <w:rFonts w:ascii="Tahoma" w:eastAsia="Times New Roman" w:hAnsi="Tahoma" w:cs="Tahoma"/>
                                <w:color w:val="000000"/>
                              </w:rPr>
                              <w:t xml:space="preserve"> </w:t>
                            </w:r>
                            <w:r>
                              <w:rPr>
                                <w:rFonts w:ascii="Tahoma" w:eastAsia="Times New Roman" w:hAnsi="Tahoma" w:cs="Tahoma"/>
                                <w:color w:val="000000"/>
                              </w:rPr>
                              <w:t xml:space="preserve">ment </w:t>
                            </w:r>
                            <w:r w:rsidRPr="00120C7F">
                              <w:rPr>
                                <w:rFonts w:ascii="Tahoma" w:eastAsia="Times New Roman" w:hAnsi="Tahoma" w:cs="Tahoma"/>
                                <w:color w:val="000000"/>
                              </w:rPr>
                              <w:t>Rate</w:t>
                            </w:r>
                          </w:p>
                        </w:tc>
                      </w:tr>
                      <w:tr w:rsidR="00D837DA" w:rsidRPr="00120C7F" w:rsidTr="001C3434">
                        <w:trPr>
                          <w:trHeight w:val="361"/>
                        </w:trPr>
                        <w:tc>
                          <w:tcPr>
                            <w:tcW w:w="1308"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2013.1</w:t>
                            </w:r>
                          </w:p>
                        </w:tc>
                        <w:tc>
                          <w:tcPr>
                            <w:tcW w:w="1572" w:type="dxa"/>
                            <w:tcBorders>
                              <w:top w:val="nil"/>
                              <w:left w:val="nil"/>
                              <w:bottom w:val="nil"/>
                              <w:right w:val="nil"/>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-0.1</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-0.2</w:t>
                            </w:r>
                          </w:p>
                        </w:tc>
                        <w:tc>
                          <w:tcPr>
                            <w:tcW w:w="1530" w:type="dxa"/>
                            <w:tcBorders>
                              <w:top w:val="nil"/>
                              <w:left w:val="nil"/>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6.8</w:t>
                            </w:r>
                          </w:p>
                        </w:tc>
                      </w:tr>
                      <w:tr w:rsidR="00D837DA" w:rsidRPr="00120C7F" w:rsidTr="001C3434">
                        <w:trPr>
                          <w:trHeight w:val="344"/>
                        </w:trPr>
                        <w:tc>
                          <w:tcPr>
                            <w:tcW w:w="1308"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2013.2</w:t>
                            </w:r>
                          </w:p>
                        </w:tc>
                        <w:tc>
                          <w:tcPr>
                            <w:tcW w:w="1572" w:type="dxa"/>
                            <w:tcBorders>
                              <w:top w:val="nil"/>
                              <w:left w:val="nil"/>
                              <w:bottom w:val="nil"/>
                              <w:right w:val="nil"/>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 xml:space="preserve"> 0.8</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 xml:space="preserve"> 1.0</w:t>
                            </w:r>
                          </w:p>
                        </w:tc>
                        <w:tc>
                          <w:tcPr>
                            <w:tcW w:w="1530" w:type="dxa"/>
                            <w:tcBorders>
                              <w:top w:val="nil"/>
                              <w:left w:val="nil"/>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6.7</w:t>
                            </w:r>
                          </w:p>
                        </w:tc>
                      </w:tr>
                      <w:tr w:rsidR="00D837DA" w:rsidRPr="00120C7F" w:rsidTr="001C3434">
                        <w:trPr>
                          <w:trHeight w:val="380"/>
                        </w:trPr>
                        <w:tc>
                          <w:tcPr>
                            <w:tcW w:w="1308"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2013.3</w:t>
                            </w:r>
                          </w:p>
                        </w:tc>
                        <w:tc>
                          <w:tcPr>
                            <w:tcW w:w="1572" w:type="dxa"/>
                            <w:tcBorders>
                              <w:top w:val="nil"/>
                              <w:left w:val="nil"/>
                              <w:bottom w:val="nil"/>
                              <w:right w:val="nil"/>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-0.4</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-0.4</w:t>
                            </w:r>
                          </w:p>
                        </w:tc>
                        <w:tc>
                          <w:tcPr>
                            <w:tcW w:w="1530" w:type="dxa"/>
                            <w:tcBorders>
                              <w:top w:val="nil"/>
                              <w:left w:val="nil"/>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6.6</w:t>
                            </w:r>
                          </w:p>
                        </w:tc>
                      </w:tr>
                      <w:tr w:rsidR="00D837DA" w:rsidRPr="00120C7F" w:rsidTr="001C3434">
                        <w:trPr>
                          <w:trHeight w:val="353"/>
                        </w:trPr>
                        <w:tc>
                          <w:tcPr>
                            <w:tcW w:w="1308"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2013.4</w:t>
                            </w:r>
                          </w:p>
                        </w:tc>
                        <w:tc>
                          <w:tcPr>
                            <w:tcW w:w="1572" w:type="dxa"/>
                            <w:tcBorders>
                              <w:top w:val="nil"/>
                              <w:left w:val="nil"/>
                              <w:bottom w:val="nil"/>
                              <w:right w:val="nil"/>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-1.1</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-0.7</w:t>
                            </w:r>
                          </w:p>
                        </w:tc>
                        <w:tc>
                          <w:tcPr>
                            <w:tcW w:w="1530" w:type="dxa"/>
                            <w:tcBorders>
                              <w:top w:val="nil"/>
                              <w:left w:val="nil"/>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6.2</w:t>
                            </w:r>
                          </w:p>
                        </w:tc>
                      </w:tr>
                      <w:tr w:rsidR="00D837DA" w:rsidRPr="00120C7F" w:rsidTr="00F560AB">
                        <w:trPr>
                          <w:trHeight w:val="333"/>
                        </w:trPr>
                        <w:tc>
                          <w:tcPr>
                            <w:tcW w:w="1308"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2014.1</w:t>
                            </w:r>
                          </w:p>
                        </w:tc>
                        <w:tc>
                          <w:tcPr>
                            <w:tcW w:w="1572" w:type="dxa"/>
                            <w:tcBorders>
                              <w:top w:val="nil"/>
                              <w:left w:val="nil"/>
                              <w:bottom w:val="nil"/>
                              <w:right w:val="nil"/>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 xml:space="preserve"> 0.8</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 xml:space="preserve"> 1.2</w:t>
                            </w:r>
                          </w:p>
                        </w:tc>
                        <w:tc>
                          <w:tcPr>
                            <w:tcW w:w="1530" w:type="dxa"/>
                            <w:tcBorders>
                              <w:top w:val="nil"/>
                              <w:left w:val="nil"/>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5.8</w:t>
                            </w:r>
                          </w:p>
                        </w:tc>
                      </w:tr>
                      <w:tr w:rsidR="00D837DA" w:rsidRPr="00120C7F" w:rsidTr="00F560AB">
                        <w:trPr>
                          <w:trHeight w:val="369"/>
                        </w:trPr>
                        <w:tc>
                          <w:tcPr>
                            <w:tcW w:w="1308"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2014.2</w:t>
                            </w:r>
                          </w:p>
                        </w:tc>
                        <w:tc>
                          <w:tcPr>
                            <w:tcW w:w="1572" w:type="dxa"/>
                            <w:tcBorders>
                              <w:top w:val="nil"/>
                              <w:left w:val="nil"/>
                              <w:bottom w:val="nil"/>
                              <w:right w:val="nil"/>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 xml:space="preserve"> 0.1</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 xml:space="preserve"> 0.5</w:t>
                            </w:r>
                          </w:p>
                        </w:tc>
                        <w:tc>
                          <w:tcPr>
                            <w:tcW w:w="1530" w:type="dxa"/>
                            <w:tcBorders>
                              <w:top w:val="nil"/>
                              <w:left w:val="nil"/>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5.4</w:t>
                            </w:r>
                          </w:p>
                        </w:tc>
                      </w:tr>
                      <w:tr w:rsidR="00D837DA" w:rsidRPr="00120C7F" w:rsidTr="00F560AB">
                        <w:trPr>
                          <w:trHeight w:val="360"/>
                        </w:trPr>
                        <w:tc>
                          <w:tcPr>
                            <w:tcW w:w="1308"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2014.3</w:t>
                            </w:r>
                          </w:p>
                        </w:tc>
                        <w:tc>
                          <w:tcPr>
                            <w:tcW w:w="1572" w:type="dxa"/>
                            <w:tcBorders>
                              <w:top w:val="nil"/>
                              <w:left w:val="nil"/>
                              <w:bottom w:val="nil"/>
                              <w:right w:val="nil"/>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 xml:space="preserve"> 0.4</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 xml:space="preserve"> 0.2</w:t>
                            </w:r>
                          </w:p>
                        </w:tc>
                        <w:tc>
                          <w:tcPr>
                            <w:tcW w:w="1530" w:type="dxa"/>
                            <w:tcBorders>
                              <w:top w:val="nil"/>
                              <w:left w:val="nil"/>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5.6</w:t>
                            </w:r>
                          </w:p>
                        </w:tc>
                      </w:tr>
                      <w:tr w:rsidR="00D837DA" w:rsidRPr="00120C7F" w:rsidTr="00F560AB">
                        <w:trPr>
                          <w:trHeight w:val="360"/>
                        </w:trPr>
                        <w:tc>
                          <w:tcPr>
                            <w:tcW w:w="1308"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2014.4</w:t>
                            </w:r>
                          </w:p>
                        </w:tc>
                        <w:tc>
                          <w:tcPr>
                            <w:tcW w:w="1572" w:type="dxa"/>
                            <w:tcBorders>
                              <w:top w:val="nil"/>
                              <w:left w:val="nil"/>
                              <w:bottom w:val="nil"/>
                              <w:right w:val="nil"/>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-0.8</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-0.1</w:t>
                            </w:r>
                          </w:p>
                        </w:tc>
                        <w:tc>
                          <w:tcPr>
                            <w:tcW w:w="1530" w:type="dxa"/>
                            <w:tcBorders>
                              <w:top w:val="nil"/>
                              <w:left w:val="nil"/>
                              <w:bottom w:val="nil"/>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4.8</w:t>
                            </w:r>
                          </w:p>
                        </w:tc>
                      </w:tr>
                      <w:tr w:rsidR="00D837DA" w:rsidRPr="00120C7F" w:rsidTr="00F560AB">
                        <w:trPr>
                          <w:trHeight w:val="369"/>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2015.1</w:t>
                            </w:r>
                          </w:p>
                        </w:tc>
                        <w:tc>
                          <w:tcPr>
                            <w:tcW w:w="1572" w:type="dxa"/>
                            <w:tcBorders>
                              <w:top w:val="nil"/>
                              <w:left w:val="single" w:sz="4" w:space="0" w:color="auto"/>
                              <w:bottom w:val="single" w:sz="4" w:space="0" w:color="auto"/>
                              <w:right w:val="nil"/>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 xml:space="preserve"> 0.3</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 xml:space="preserve"> 0.7</w:t>
                            </w:r>
                          </w:p>
                        </w:tc>
                        <w:tc>
                          <w:tcPr>
                            <w:tcW w:w="1530" w:type="dxa"/>
                            <w:tcBorders>
                              <w:top w:val="nil"/>
                              <w:left w:val="nil"/>
                              <w:bottom w:val="single" w:sz="4" w:space="0" w:color="auto"/>
                              <w:right w:val="single" w:sz="4" w:space="0" w:color="auto"/>
                            </w:tcBorders>
                            <w:shd w:val="clear" w:color="auto" w:fill="auto"/>
                            <w:noWrap/>
                            <w:vAlign w:val="bottom"/>
                            <w:hideMark/>
                          </w:tcPr>
                          <w:p w:rsidR="00D837DA" w:rsidRPr="00120C7F" w:rsidRDefault="00D837DA" w:rsidP="00F560AB">
                            <w:pPr>
                              <w:spacing w:after="0"/>
                              <w:ind w:left="180"/>
                              <w:jc w:val="center"/>
                              <w:rPr>
                                <w:rFonts w:ascii="Tahoma" w:eastAsia="Times New Roman" w:hAnsi="Tahoma" w:cs="Tahoma"/>
                                <w:color w:val="000000"/>
                              </w:rPr>
                            </w:pPr>
                            <w:r w:rsidRPr="00120C7F">
                              <w:rPr>
                                <w:rFonts w:ascii="Tahoma" w:eastAsia="Times New Roman" w:hAnsi="Tahoma" w:cs="Tahoma"/>
                                <w:color w:val="000000"/>
                              </w:rPr>
                              <w:t>4.4</w:t>
                            </w:r>
                          </w:p>
                        </w:tc>
                      </w:tr>
                    </w:tbl>
                    <w:p w:rsidR="00D837DA" w:rsidRPr="00CA2D62" w:rsidRDefault="00D837DA" w:rsidP="00630F81">
                      <w:pPr>
                        <w:spacing w:after="0"/>
                        <w:ind w:left="180"/>
                        <w:rPr>
                          <w:rFonts w:ascii="Tahoma" w:hAnsi="Tahoma" w:cs="Tahoma"/>
                          <w:sz w:val="18"/>
                          <w:szCs w:val="18"/>
                        </w:rPr>
                      </w:pPr>
                      <w:r w:rsidRPr="00CA2D62">
                        <w:rPr>
                          <w:rFonts w:ascii="Tahoma" w:hAnsi="Tahoma" w:cs="Tahoma"/>
                          <w:sz w:val="18"/>
                          <w:szCs w:val="18"/>
                        </w:rPr>
                        <w:t>Source:  U.S. Bureau of Labor Statistics</w:t>
                      </w:r>
                    </w:p>
                    <w:p w:rsidR="00D837DA" w:rsidRPr="00CA2D62" w:rsidRDefault="00D837DA" w:rsidP="00630F81">
                      <w:pPr>
                        <w:spacing w:after="0" w:line="360" w:lineRule="auto"/>
                        <w:ind w:left="180"/>
                        <w:jc w:val="center"/>
                        <w:rPr>
                          <w:rFonts w:ascii="Tahoma" w:eastAsiaTheme="majorEastAsia" w:hAnsi="Tahoma" w:cs="Tahoma"/>
                          <w:iCs/>
                          <w:sz w:val="24"/>
                          <w:szCs w:val="24"/>
                        </w:rPr>
                      </w:pPr>
                    </w:p>
                  </w:txbxContent>
                </v:textbox>
                <w10:wrap type="square" anchorx="page" anchory="page"/>
              </v:shape>
            </w:pict>
          </mc:Fallback>
        </mc:AlternateContent>
      </w:r>
      <w:r w:rsidR="003E33D6" w:rsidRPr="00120C7F">
        <w:rPr>
          <w:rFonts w:ascii="Tahoma" w:hAnsi="Tahoma" w:cs="Tahoma"/>
        </w:rPr>
        <w:t xml:space="preserve">Table 2 shows </w:t>
      </w:r>
      <w:r w:rsidR="00293F29">
        <w:rPr>
          <w:rFonts w:ascii="Tahoma" w:hAnsi="Tahoma" w:cs="Tahoma"/>
        </w:rPr>
        <w:t xml:space="preserve">the </w:t>
      </w:r>
      <w:r w:rsidR="003E33D6" w:rsidRPr="00120C7F">
        <w:rPr>
          <w:rFonts w:ascii="Tahoma" w:hAnsi="Tahoma" w:cs="Tahoma"/>
        </w:rPr>
        <w:t>considerable vari</w:t>
      </w:r>
      <w:r w:rsidR="003E33D6" w:rsidRPr="00120C7F">
        <w:rPr>
          <w:rFonts w:ascii="Tahoma" w:hAnsi="Tahoma" w:cs="Tahoma"/>
        </w:rPr>
        <w:t>a</w:t>
      </w:r>
      <w:r w:rsidR="003E33D6" w:rsidRPr="00120C7F">
        <w:rPr>
          <w:rFonts w:ascii="Tahoma" w:hAnsi="Tahoma" w:cs="Tahoma"/>
        </w:rPr>
        <w:t xml:space="preserve">tion in </w:t>
      </w:r>
      <w:r w:rsidR="001C3434">
        <w:rPr>
          <w:rFonts w:ascii="Tahoma" w:hAnsi="Tahoma" w:cs="Tahoma"/>
        </w:rPr>
        <w:t>1st quarter l</w:t>
      </w:r>
      <w:r w:rsidR="001C3434">
        <w:rPr>
          <w:rFonts w:ascii="Tahoma" w:hAnsi="Tahoma" w:cs="Tahoma"/>
        </w:rPr>
        <w:t>a</w:t>
      </w:r>
      <w:r w:rsidR="001C3434">
        <w:rPr>
          <w:rFonts w:ascii="Tahoma" w:hAnsi="Tahoma" w:cs="Tahoma"/>
        </w:rPr>
        <w:t>bor force and e</w:t>
      </w:r>
      <w:r w:rsidR="001C3434">
        <w:rPr>
          <w:rFonts w:ascii="Tahoma" w:hAnsi="Tahoma" w:cs="Tahoma"/>
        </w:rPr>
        <w:t>m</w:t>
      </w:r>
      <w:r w:rsidR="001C3434">
        <w:rPr>
          <w:rFonts w:ascii="Tahoma" w:hAnsi="Tahoma" w:cs="Tahoma"/>
        </w:rPr>
        <w:t>ployment growth</w:t>
      </w:r>
      <w:r w:rsidR="00293F29">
        <w:rPr>
          <w:rFonts w:ascii="Tahoma" w:hAnsi="Tahoma" w:cs="Tahoma"/>
        </w:rPr>
        <w:t xml:space="preserve"> rates</w:t>
      </w:r>
      <w:r w:rsidR="001C3434">
        <w:rPr>
          <w:rFonts w:ascii="Tahoma" w:hAnsi="Tahoma" w:cs="Tahoma"/>
        </w:rPr>
        <w:t xml:space="preserve"> among the 25</w:t>
      </w:r>
      <w:r w:rsidR="003E33D6" w:rsidRPr="00120C7F">
        <w:rPr>
          <w:rFonts w:ascii="Tahoma" w:hAnsi="Tahoma" w:cs="Tahoma"/>
        </w:rPr>
        <w:t xml:space="preserve"> Texas </w:t>
      </w:r>
      <w:r w:rsidR="001C3434">
        <w:rPr>
          <w:rFonts w:ascii="Tahoma" w:hAnsi="Tahoma" w:cs="Tahoma"/>
        </w:rPr>
        <w:t>metro areas</w:t>
      </w:r>
      <w:r w:rsidR="00293F29">
        <w:rPr>
          <w:rFonts w:ascii="Tahoma" w:hAnsi="Tahoma" w:cs="Tahoma"/>
        </w:rPr>
        <w:t>.</w:t>
      </w:r>
      <w:r w:rsidR="003E33D6" w:rsidRPr="00120C7F">
        <w:rPr>
          <w:rFonts w:ascii="Tahoma" w:hAnsi="Tahoma" w:cs="Tahoma"/>
        </w:rPr>
        <w:t xml:space="preserve"> </w:t>
      </w:r>
      <w:r w:rsidR="00293F29">
        <w:rPr>
          <w:rFonts w:ascii="Tahoma" w:hAnsi="Tahoma" w:cs="Tahoma"/>
        </w:rPr>
        <w:t xml:space="preserve"> Despite </w:t>
      </w:r>
      <w:r w:rsidR="000D3771">
        <w:rPr>
          <w:rFonts w:ascii="Tahoma" w:hAnsi="Tahoma" w:cs="Tahoma"/>
        </w:rPr>
        <w:t xml:space="preserve">the </w:t>
      </w:r>
      <w:r w:rsidR="00293F29">
        <w:rPr>
          <w:rFonts w:ascii="Tahoma" w:hAnsi="Tahoma" w:cs="Tahoma"/>
        </w:rPr>
        <w:t>variation</w:t>
      </w:r>
      <w:r w:rsidR="000D3771">
        <w:rPr>
          <w:rFonts w:ascii="Tahoma" w:hAnsi="Tahoma" w:cs="Tahoma"/>
        </w:rPr>
        <w:t xml:space="preserve"> among geographic areas</w:t>
      </w:r>
      <w:r w:rsidR="00293F29">
        <w:rPr>
          <w:rFonts w:ascii="Tahoma" w:hAnsi="Tahoma" w:cs="Tahoma"/>
        </w:rPr>
        <w:t xml:space="preserve"> </w:t>
      </w:r>
      <w:r w:rsidR="005956F5">
        <w:rPr>
          <w:rFonts w:ascii="Tahoma" w:hAnsi="Tahoma" w:cs="Tahoma"/>
        </w:rPr>
        <w:t>t</w:t>
      </w:r>
      <w:r w:rsidR="0064226E">
        <w:rPr>
          <w:rFonts w:ascii="Tahoma" w:hAnsi="Tahoma" w:cs="Tahoma"/>
        </w:rPr>
        <w:t>he unemplo</w:t>
      </w:r>
      <w:r w:rsidR="0064226E">
        <w:rPr>
          <w:rFonts w:ascii="Tahoma" w:hAnsi="Tahoma" w:cs="Tahoma"/>
        </w:rPr>
        <w:t>y</w:t>
      </w:r>
      <w:r w:rsidR="0064226E">
        <w:rPr>
          <w:rFonts w:ascii="Tahoma" w:hAnsi="Tahoma" w:cs="Tahoma"/>
        </w:rPr>
        <w:t>ment rate in every Texas metro a</w:t>
      </w:r>
      <w:r w:rsidR="0064226E">
        <w:rPr>
          <w:rFonts w:ascii="Tahoma" w:hAnsi="Tahoma" w:cs="Tahoma"/>
        </w:rPr>
        <w:t>r</w:t>
      </w:r>
      <w:r w:rsidR="0064226E">
        <w:rPr>
          <w:rFonts w:ascii="Tahoma" w:hAnsi="Tahoma" w:cs="Tahoma"/>
        </w:rPr>
        <w:t xml:space="preserve">ea </w:t>
      </w:r>
      <w:r w:rsidR="000D3771">
        <w:rPr>
          <w:rFonts w:ascii="Tahoma" w:hAnsi="Tahoma" w:cs="Tahoma"/>
        </w:rPr>
        <w:t>d</w:t>
      </w:r>
      <w:r w:rsidR="000D3771">
        <w:rPr>
          <w:rFonts w:ascii="Tahoma" w:hAnsi="Tahoma" w:cs="Tahoma"/>
        </w:rPr>
        <w:t>e</w:t>
      </w:r>
      <w:r w:rsidR="000D3771">
        <w:rPr>
          <w:rFonts w:ascii="Tahoma" w:hAnsi="Tahoma" w:cs="Tahoma"/>
        </w:rPr>
        <w:t xml:space="preserve">creased </w:t>
      </w:r>
      <w:r w:rsidR="0064226E">
        <w:rPr>
          <w:rFonts w:ascii="Tahoma" w:hAnsi="Tahoma" w:cs="Tahoma"/>
        </w:rPr>
        <w:t>during 1st quarter 2015 co</w:t>
      </w:r>
      <w:r w:rsidR="0064226E">
        <w:rPr>
          <w:rFonts w:ascii="Tahoma" w:hAnsi="Tahoma" w:cs="Tahoma"/>
        </w:rPr>
        <w:t>m</w:t>
      </w:r>
      <w:r w:rsidR="0064226E">
        <w:rPr>
          <w:rFonts w:ascii="Tahoma" w:hAnsi="Tahoma" w:cs="Tahoma"/>
        </w:rPr>
        <w:t>pared with the same period in 2014, lowe</w:t>
      </w:r>
      <w:r w:rsidR="0064226E">
        <w:rPr>
          <w:rFonts w:ascii="Tahoma" w:hAnsi="Tahoma" w:cs="Tahoma"/>
        </w:rPr>
        <w:t>r</w:t>
      </w:r>
      <w:r w:rsidR="0064226E">
        <w:rPr>
          <w:rFonts w:ascii="Tahoma" w:hAnsi="Tahoma" w:cs="Tahoma"/>
        </w:rPr>
        <w:t xml:space="preserve">ing the Texas State average </w:t>
      </w:r>
      <w:r w:rsidR="00185E50">
        <w:rPr>
          <w:rFonts w:ascii="Tahoma" w:hAnsi="Tahoma" w:cs="Tahoma"/>
        </w:rPr>
        <w:t>to 4.3 pe</w:t>
      </w:r>
      <w:r w:rsidR="00185E50">
        <w:rPr>
          <w:rFonts w:ascii="Tahoma" w:hAnsi="Tahoma" w:cs="Tahoma"/>
        </w:rPr>
        <w:t>r</w:t>
      </w:r>
      <w:r w:rsidR="00185E50">
        <w:rPr>
          <w:rFonts w:ascii="Tahoma" w:hAnsi="Tahoma" w:cs="Tahoma"/>
        </w:rPr>
        <w:t>cent.</w:t>
      </w:r>
      <w:r w:rsidR="00F560AB">
        <w:rPr>
          <w:rFonts w:ascii="Tahoma" w:hAnsi="Tahoma" w:cs="Tahoma"/>
        </w:rPr>
        <w:t xml:space="preserve"> </w:t>
      </w:r>
    </w:p>
    <w:p w:rsidR="00F560AB" w:rsidRDefault="005956F5" w:rsidP="00677A45">
      <w:pPr>
        <w:tabs>
          <w:tab w:val="left" w:pos="540"/>
          <w:tab w:val="left" w:pos="2250"/>
        </w:tabs>
        <w:spacing w:after="0"/>
        <w:jc w:val="both"/>
        <w:rPr>
          <w:rFonts w:ascii="Tahoma" w:hAnsi="Tahoma" w:cs="Tahoma"/>
        </w:rPr>
      </w:pPr>
      <w:r>
        <w:rPr>
          <w:rFonts w:ascii="Tahoma" w:hAnsi="Tahoma" w:cs="Tahoma"/>
        </w:rPr>
        <w:lastRenderedPageBreak/>
        <w:tab/>
      </w:r>
      <w:r w:rsidR="00F560AB">
        <w:rPr>
          <w:rFonts w:ascii="Tahoma" w:hAnsi="Tahoma" w:cs="Tahoma"/>
        </w:rPr>
        <w:t>Both t</w:t>
      </w:r>
      <w:r w:rsidR="00185E50" w:rsidRPr="00185E50">
        <w:rPr>
          <w:rFonts w:ascii="Tahoma" w:hAnsi="Tahoma" w:cs="Tahoma"/>
        </w:rPr>
        <w:t>he</w:t>
      </w:r>
      <w:r w:rsidR="00F560AB">
        <w:rPr>
          <w:rFonts w:ascii="Tahoma" w:hAnsi="Tahoma" w:cs="Tahoma"/>
        </w:rPr>
        <w:t xml:space="preserve"> Waco and the </w:t>
      </w:r>
      <w:r w:rsidR="00185E50">
        <w:rPr>
          <w:rFonts w:ascii="Tahoma" w:hAnsi="Tahoma" w:cs="Tahoma"/>
        </w:rPr>
        <w:t xml:space="preserve">Killeen-Temple </w:t>
      </w:r>
      <w:r>
        <w:rPr>
          <w:rFonts w:ascii="Tahoma" w:hAnsi="Tahoma" w:cs="Tahoma"/>
        </w:rPr>
        <w:t>metro areas</w:t>
      </w:r>
      <w:r w:rsidR="00185E50">
        <w:rPr>
          <w:rFonts w:ascii="Tahoma" w:hAnsi="Tahoma" w:cs="Tahoma"/>
        </w:rPr>
        <w:t xml:space="preserve"> experienced slower growth in the labor force along with pos</w:t>
      </w:r>
      <w:r w:rsidR="00185E50">
        <w:rPr>
          <w:rFonts w:ascii="Tahoma" w:hAnsi="Tahoma" w:cs="Tahoma"/>
        </w:rPr>
        <w:t>i</w:t>
      </w:r>
      <w:r w:rsidR="00185E50">
        <w:rPr>
          <w:rFonts w:ascii="Tahoma" w:hAnsi="Tahoma" w:cs="Tahoma"/>
        </w:rPr>
        <w:t xml:space="preserve">tive growth in employment that lowered their unemployment rates to 4.2% and 4.9%, respectively.  </w:t>
      </w:r>
    </w:p>
    <w:p w:rsidR="00185E50" w:rsidRDefault="00F560AB" w:rsidP="00F560AB">
      <w:pPr>
        <w:tabs>
          <w:tab w:val="left" w:pos="540"/>
        </w:tabs>
        <w:spacing w:after="0"/>
        <w:jc w:val="both"/>
        <w:rPr>
          <w:rFonts w:ascii="Tahoma" w:hAnsi="Tahoma" w:cs="Tahoma"/>
        </w:rPr>
      </w:pPr>
      <w:r>
        <w:rPr>
          <w:rFonts w:ascii="Tahoma" w:hAnsi="Tahoma" w:cs="Tahoma"/>
        </w:rPr>
        <w:tab/>
      </w:r>
      <w:r w:rsidR="00185E50">
        <w:rPr>
          <w:rFonts w:ascii="Tahoma" w:hAnsi="Tahoma" w:cs="Tahoma"/>
        </w:rPr>
        <w:t xml:space="preserve">The Killeen-Temple area is </w:t>
      </w:r>
      <w:r w:rsidR="00F10AB3">
        <w:rPr>
          <w:rFonts w:ascii="Tahoma" w:hAnsi="Tahoma" w:cs="Tahoma"/>
        </w:rPr>
        <w:t>facing</w:t>
      </w:r>
      <w:r w:rsidR="00185E50">
        <w:rPr>
          <w:rFonts w:ascii="Tahoma" w:hAnsi="Tahoma" w:cs="Tahoma"/>
        </w:rPr>
        <w:t xml:space="preserve"> the</w:t>
      </w:r>
      <w:r w:rsidR="00765BC6">
        <w:rPr>
          <w:rFonts w:ascii="Tahoma" w:hAnsi="Tahoma" w:cs="Tahoma"/>
        </w:rPr>
        <w:t xml:space="preserve"> economic</w:t>
      </w:r>
      <w:r w:rsidR="00185E50">
        <w:rPr>
          <w:rFonts w:ascii="Tahoma" w:hAnsi="Tahoma" w:cs="Tahoma"/>
        </w:rPr>
        <w:t xml:space="preserve"> </w:t>
      </w:r>
      <w:r w:rsidR="003A40D6">
        <w:rPr>
          <w:rFonts w:ascii="Tahoma" w:hAnsi="Tahoma" w:cs="Tahoma"/>
        </w:rPr>
        <w:t xml:space="preserve">impact of defense budget </w:t>
      </w:r>
      <w:r w:rsidR="003A40D6">
        <w:rPr>
          <w:rFonts w:ascii="Tahoma" w:hAnsi="Tahoma" w:cs="Tahoma"/>
        </w:rPr>
        <w:lastRenderedPageBreak/>
        <w:t xml:space="preserve">cuts </w:t>
      </w:r>
      <w:r w:rsidR="00F10AB3">
        <w:rPr>
          <w:rFonts w:ascii="Tahoma" w:hAnsi="Tahoma" w:cs="Tahoma"/>
        </w:rPr>
        <w:t>and</w:t>
      </w:r>
      <w:r w:rsidR="00765BC6">
        <w:rPr>
          <w:rFonts w:ascii="Tahoma" w:hAnsi="Tahoma" w:cs="Tahoma"/>
        </w:rPr>
        <w:t xml:space="preserve"> the uncertainty of a potential loss of </w:t>
      </w:r>
      <w:r w:rsidR="00F10AB3">
        <w:rPr>
          <w:rFonts w:ascii="Tahoma" w:hAnsi="Tahoma" w:cs="Tahoma"/>
        </w:rPr>
        <w:t>future troop</w:t>
      </w:r>
      <w:r w:rsidR="00765BC6">
        <w:rPr>
          <w:rFonts w:ascii="Tahoma" w:hAnsi="Tahoma" w:cs="Tahoma"/>
        </w:rPr>
        <w:t>,</w:t>
      </w:r>
      <w:r w:rsidR="00F10AB3">
        <w:rPr>
          <w:rFonts w:ascii="Tahoma" w:hAnsi="Tahoma" w:cs="Tahoma"/>
        </w:rPr>
        <w:t xml:space="preserve"> civilian </w:t>
      </w:r>
      <w:r w:rsidR="00765BC6">
        <w:rPr>
          <w:rFonts w:ascii="Tahoma" w:hAnsi="Tahoma" w:cs="Tahoma"/>
        </w:rPr>
        <w:t>workers, and family members totaling over 40,000 in an immediate “area of influence” popul</w:t>
      </w:r>
      <w:r w:rsidR="00765BC6">
        <w:rPr>
          <w:rFonts w:ascii="Tahoma" w:hAnsi="Tahoma" w:cs="Tahoma"/>
        </w:rPr>
        <w:t>a</w:t>
      </w:r>
      <w:r w:rsidR="00765BC6">
        <w:rPr>
          <w:rFonts w:ascii="Tahoma" w:hAnsi="Tahoma" w:cs="Tahoma"/>
        </w:rPr>
        <w:t>tion of nearly 420,000 persons.  Certai</w:t>
      </w:r>
      <w:r w:rsidR="00765BC6">
        <w:rPr>
          <w:rFonts w:ascii="Tahoma" w:hAnsi="Tahoma" w:cs="Tahoma"/>
        </w:rPr>
        <w:t>n</w:t>
      </w:r>
      <w:r w:rsidR="00765BC6">
        <w:rPr>
          <w:rFonts w:ascii="Tahoma" w:hAnsi="Tahoma" w:cs="Tahoma"/>
        </w:rPr>
        <w:t xml:space="preserve">ly, the entire Central Texas region would be impacted by future household location decisions. </w:t>
      </w:r>
    </w:p>
    <w:p w:rsidR="00765BC6" w:rsidRPr="00185E50" w:rsidRDefault="00765BC6" w:rsidP="00185E50">
      <w:pPr>
        <w:tabs>
          <w:tab w:val="left" w:pos="540"/>
        </w:tabs>
        <w:spacing w:after="0"/>
        <w:jc w:val="both"/>
        <w:rPr>
          <w:rFonts w:ascii="Tahoma" w:hAnsi="Tahoma" w:cs="Tahoma"/>
        </w:rPr>
        <w:sectPr w:rsidR="00765BC6" w:rsidRPr="00185E50" w:rsidSect="000D3771">
          <w:type w:val="continuous"/>
          <w:pgSz w:w="12240" w:h="15840"/>
          <w:pgMar w:top="1440" w:right="1350" w:bottom="1440" w:left="2070" w:header="720" w:footer="720" w:gutter="0"/>
          <w:cols w:num="2" w:space="720"/>
          <w:docGrid w:linePitch="360"/>
        </w:sectPr>
      </w:pPr>
    </w:p>
    <w:p w:rsidR="00B31693" w:rsidRPr="005956F5" w:rsidRDefault="00B31693" w:rsidP="00490C1B">
      <w:pPr>
        <w:tabs>
          <w:tab w:val="left" w:pos="0"/>
        </w:tabs>
        <w:spacing w:before="120" w:after="0"/>
        <w:ind w:left="446"/>
        <w:jc w:val="center"/>
        <w:rPr>
          <w:rFonts w:ascii="Tahoma" w:hAnsi="Tahoma" w:cs="Tahoma"/>
          <w:sz w:val="20"/>
          <w:szCs w:val="20"/>
        </w:rPr>
      </w:pPr>
      <w:r w:rsidRPr="005956F5">
        <w:rPr>
          <w:rFonts w:ascii="Tahoma" w:hAnsi="Tahoma" w:cs="Tahoma"/>
          <w:sz w:val="20"/>
          <w:szCs w:val="20"/>
        </w:rPr>
        <w:lastRenderedPageBreak/>
        <w:t>Table 2</w:t>
      </w:r>
    </w:p>
    <w:p w:rsidR="00B31693" w:rsidRPr="005956F5" w:rsidRDefault="00B31693" w:rsidP="00A71D6C">
      <w:pPr>
        <w:tabs>
          <w:tab w:val="left" w:pos="0"/>
        </w:tabs>
        <w:spacing w:after="120"/>
        <w:ind w:left="450"/>
        <w:jc w:val="center"/>
        <w:rPr>
          <w:rFonts w:ascii="Tahoma" w:hAnsi="Tahoma" w:cs="Tahoma"/>
          <w:sz w:val="20"/>
          <w:szCs w:val="20"/>
        </w:rPr>
      </w:pPr>
      <w:r w:rsidRPr="005956F5">
        <w:rPr>
          <w:rFonts w:ascii="Tahoma" w:hAnsi="Tahoma" w:cs="Tahoma"/>
          <w:sz w:val="20"/>
          <w:szCs w:val="20"/>
        </w:rPr>
        <w:t xml:space="preserve">Annual Percent Change in </w:t>
      </w:r>
      <w:r w:rsidR="0077659E" w:rsidRPr="005956F5">
        <w:rPr>
          <w:rFonts w:ascii="Tahoma" w:hAnsi="Tahoma" w:cs="Tahoma"/>
          <w:sz w:val="20"/>
          <w:szCs w:val="20"/>
        </w:rPr>
        <w:t xml:space="preserve">Texas Metro Area </w:t>
      </w:r>
      <w:r w:rsidRPr="005956F5">
        <w:rPr>
          <w:rFonts w:ascii="Tahoma" w:hAnsi="Tahoma" w:cs="Tahoma"/>
          <w:sz w:val="20"/>
          <w:szCs w:val="20"/>
        </w:rPr>
        <w:t>1st Q</w:t>
      </w:r>
      <w:r w:rsidR="0077659E" w:rsidRPr="005956F5">
        <w:rPr>
          <w:rFonts w:ascii="Tahoma" w:hAnsi="Tahoma" w:cs="Tahoma"/>
          <w:sz w:val="20"/>
          <w:szCs w:val="20"/>
        </w:rPr>
        <w:t xml:space="preserve">tr. </w:t>
      </w:r>
      <w:r w:rsidRPr="005956F5">
        <w:rPr>
          <w:rFonts w:ascii="Tahoma" w:hAnsi="Tahoma" w:cs="Tahoma"/>
          <w:sz w:val="20"/>
          <w:szCs w:val="20"/>
        </w:rPr>
        <w:t>2014 and 2015 Labor Force and E</w:t>
      </w:r>
      <w:r w:rsidRPr="005956F5">
        <w:rPr>
          <w:rFonts w:ascii="Tahoma" w:hAnsi="Tahoma" w:cs="Tahoma"/>
          <w:sz w:val="20"/>
          <w:szCs w:val="20"/>
        </w:rPr>
        <w:t>m</w:t>
      </w:r>
      <w:r w:rsidRPr="005956F5">
        <w:rPr>
          <w:rFonts w:ascii="Tahoma" w:hAnsi="Tahoma" w:cs="Tahoma"/>
          <w:sz w:val="20"/>
          <w:szCs w:val="20"/>
        </w:rPr>
        <w:t xml:space="preserve">ployment and </w:t>
      </w:r>
      <w:r w:rsidR="00AE245B" w:rsidRPr="005956F5">
        <w:rPr>
          <w:rFonts w:ascii="Tahoma" w:hAnsi="Tahoma" w:cs="Tahoma"/>
          <w:sz w:val="20"/>
          <w:szCs w:val="20"/>
        </w:rPr>
        <w:t>Quarterly</w:t>
      </w:r>
      <w:r w:rsidR="00A460BF" w:rsidRPr="005956F5">
        <w:rPr>
          <w:rFonts w:ascii="Tahoma" w:hAnsi="Tahoma" w:cs="Tahoma"/>
          <w:sz w:val="20"/>
          <w:szCs w:val="20"/>
        </w:rPr>
        <w:t xml:space="preserve"> Av</w:t>
      </w:r>
      <w:r w:rsidR="00AE245B" w:rsidRPr="005956F5">
        <w:rPr>
          <w:rFonts w:ascii="Tahoma" w:hAnsi="Tahoma" w:cs="Tahoma"/>
          <w:sz w:val="20"/>
          <w:szCs w:val="20"/>
        </w:rPr>
        <w:t>erage</w:t>
      </w:r>
      <w:r w:rsidR="0077659E" w:rsidRPr="005956F5">
        <w:rPr>
          <w:rFonts w:ascii="Tahoma" w:hAnsi="Tahoma" w:cs="Tahoma"/>
          <w:sz w:val="20"/>
          <w:szCs w:val="20"/>
        </w:rPr>
        <w:t xml:space="preserve"> </w:t>
      </w:r>
      <w:r w:rsidRPr="005956F5">
        <w:rPr>
          <w:rFonts w:ascii="Tahoma" w:hAnsi="Tahoma" w:cs="Tahoma"/>
          <w:sz w:val="20"/>
          <w:szCs w:val="20"/>
        </w:rPr>
        <w:t>Unemployment Rates</w:t>
      </w:r>
    </w:p>
    <w:tbl>
      <w:tblPr>
        <w:tblW w:w="8936" w:type="dxa"/>
        <w:tblInd w:w="93" w:type="dxa"/>
        <w:tblLook w:val="04A0" w:firstRow="1" w:lastRow="0" w:firstColumn="1" w:lastColumn="0" w:noHBand="0" w:noVBand="1"/>
      </w:tblPr>
      <w:tblGrid>
        <w:gridCol w:w="2265"/>
        <w:gridCol w:w="1170"/>
        <w:gridCol w:w="1170"/>
        <w:gridCol w:w="990"/>
        <w:gridCol w:w="1260"/>
        <w:gridCol w:w="1080"/>
        <w:gridCol w:w="1001"/>
      </w:tblGrid>
      <w:tr w:rsidR="007E3689" w:rsidRPr="005956F5" w:rsidTr="005956F5">
        <w:trPr>
          <w:trHeight w:val="602"/>
        </w:trPr>
        <w:tc>
          <w:tcPr>
            <w:tcW w:w="2265" w:type="dxa"/>
            <w:tcBorders>
              <w:top w:val="single" w:sz="4" w:space="0" w:color="auto"/>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Texas Metro Area              </w:t>
            </w:r>
          </w:p>
        </w:tc>
        <w:tc>
          <w:tcPr>
            <w:tcW w:w="2340" w:type="dxa"/>
            <w:gridSpan w:val="2"/>
            <w:tcBorders>
              <w:top w:val="single" w:sz="4" w:space="0" w:color="auto"/>
              <w:left w:val="single" w:sz="4" w:space="0" w:color="auto"/>
              <w:bottom w:val="nil"/>
              <w:right w:val="nil"/>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1st Qtr. 2014 Average</w:t>
            </w:r>
          </w:p>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Yearly Percent Change</w:t>
            </w:r>
          </w:p>
        </w:tc>
        <w:tc>
          <w:tcPr>
            <w:tcW w:w="990" w:type="dxa"/>
            <w:tcBorders>
              <w:top w:val="single" w:sz="4" w:space="0" w:color="auto"/>
              <w:left w:val="single" w:sz="4" w:space="0" w:color="auto"/>
              <w:bottom w:val="nil"/>
              <w:right w:val="single" w:sz="4" w:space="0" w:color="auto"/>
            </w:tcBorders>
            <w:shd w:val="clear" w:color="auto" w:fill="auto"/>
            <w:noWrap/>
            <w:vAlign w:val="bottom"/>
          </w:tcPr>
          <w:p w:rsidR="007E3689" w:rsidRPr="005956F5" w:rsidRDefault="007E3689" w:rsidP="007E3689">
            <w:pPr>
              <w:tabs>
                <w:tab w:val="left" w:pos="702"/>
                <w:tab w:val="left" w:pos="852"/>
              </w:tabs>
              <w:spacing w:after="0" w:line="240" w:lineRule="auto"/>
              <w:ind w:left="-108" w:right="-108"/>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w:t>
            </w:r>
          </w:p>
          <w:p w:rsidR="007E3689" w:rsidRPr="005956F5" w:rsidRDefault="007E3689" w:rsidP="007E3689">
            <w:pPr>
              <w:tabs>
                <w:tab w:val="left" w:pos="-111"/>
                <w:tab w:val="left" w:pos="702"/>
                <w:tab w:val="left" w:pos="852"/>
              </w:tabs>
              <w:spacing w:after="0" w:line="240" w:lineRule="auto"/>
              <w:ind w:left="-108" w:right="-108"/>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Average </w:t>
            </w:r>
          </w:p>
        </w:tc>
        <w:tc>
          <w:tcPr>
            <w:tcW w:w="2340" w:type="dxa"/>
            <w:gridSpan w:val="2"/>
            <w:tcBorders>
              <w:top w:val="single" w:sz="4" w:space="0" w:color="auto"/>
              <w:left w:val="single" w:sz="4" w:space="0" w:color="auto"/>
              <w:bottom w:val="nil"/>
              <w:right w:val="nil"/>
            </w:tcBorders>
            <w:shd w:val="clear" w:color="auto" w:fill="auto"/>
            <w:noWrap/>
            <w:vAlign w:val="bottom"/>
            <w:hideMark/>
          </w:tcPr>
          <w:p w:rsidR="007E3689" w:rsidRPr="005956F5" w:rsidRDefault="007E3689" w:rsidP="007E3689">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1st Qtr. 2015 Average</w:t>
            </w:r>
          </w:p>
          <w:p w:rsidR="007E3689" w:rsidRPr="005956F5" w:rsidRDefault="007E3689" w:rsidP="007E3689">
            <w:pPr>
              <w:tabs>
                <w:tab w:val="left" w:pos="0"/>
              </w:tabs>
              <w:spacing w:after="0" w:line="240" w:lineRule="auto"/>
              <w:ind w:left="-3" w:right="-108"/>
              <w:rPr>
                <w:rFonts w:ascii="Tahoma" w:eastAsia="Times New Roman" w:hAnsi="Tahoma" w:cs="Tahoma"/>
                <w:color w:val="000000"/>
                <w:sz w:val="20"/>
                <w:szCs w:val="20"/>
              </w:rPr>
            </w:pPr>
            <w:r w:rsidRPr="005956F5">
              <w:rPr>
                <w:rFonts w:ascii="Tahoma" w:eastAsia="Times New Roman" w:hAnsi="Tahoma" w:cs="Tahoma"/>
                <w:color w:val="000000"/>
                <w:sz w:val="20"/>
                <w:szCs w:val="20"/>
              </w:rPr>
              <w:t>Yearly Percent Change</w:t>
            </w:r>
          </w:p>
        </w:tc>
        <w:tc>
          <w:tcPr>
            <w:tcW w:w="1001" w:type="dxa"/>
            <w:tcBorders>
              <w:top w:val="single" w:sz="4" w:space="0" w:color="auto"/>
              <w:left w:val="single" w:sz="4" w:space="0" w:color="auto"/>
              <w:bottom w:val="nil"/>
              <w:right w:val="single" w:sz="4" w:space="0" w:color="auto"/>
            </w:tcBorders>
            <w:shd w:val="clear" w:color="auto" w:fill="auto"/>
            <w:noWrap/>
            <w:vAlign w:val="bottom"/>
          </w:tcPr>
          <w:p w:rsidR="007E3689" w:rsidRPr="005956F5" w:rsidRDefault="007E3689" w:rsidP="00833821">
            <w:pPr>
              <w:tabs>
                <w:tab w:val="left" w:pos="702"/>
                <w:tab w:val="left" w:pos="852"/>
              </w:tabs>
              <w:spacing w:after="0" w:line="240" w:lineRule="auto"/>
              <w:ind w:left="-108" w:right="-108"/>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w:t>
            </w:r>
          </w:p>
          <w:p w:rsidR="007E3689" w:rsidRPr="005956F5" w:rsidRDefault="007E3689" w:rsidP="00B83225">
            <w:pPr>
              <w:tabs>
                <w:tab w:val="left" w:pos="-111"/>
                <w:tab w:val="left" w:pos="702"/>
                <w:tab w:val="left" w:pos="852"/>
              </w:tabs>
              <w:spacing w:after="0" w:line="240" w:lineRule="auto"/>
              <w:ind w:left="-108" w:right="-108"/>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Average</w:t>
            </w:r>
          </w:p>
        </w:tc>
      </w:tr>
      <w:tr w:rsidR="007E3689" w:rsidRPr="005956F5" w:rsidTr="005956F5">
        <w:trPr>
          <w:trHeight w:val="287"/>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62" w:firstLine="1"/>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Labor</w:t>
            </w:r>
          </w:p>
          <w:p w:rsidR="007E3689" w:rsidRPr="005956F5" w:rsidRDefault="007E3689" w:rsidP="00FB23A1">
            <w:pPr>
              <w:tabs>
                <w:tab w:val="left" w:pos="-92"/>
              </w:tabs>
              <w:spacing w:after="0" w:line="240" w:lineRule="auto"/>
              <w:ind w:left="-3" w:right="162" w:firstLine="1"/>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force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7E3689" w:rsidRPr="005956F5" w:rsidRDefault="003E33D6" w:rsidP="00FB23A1">
            <w:pPr>
              <w:tabs>
                <w:tab w:val="left" w:pos="-45"/>
              </w:tabs>
              <w:spacing w:after="0" w:line="240" w:lineRule="auto"/>
              <w:ind w:left="-3" w:right="-108" w:hanging="6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w:t>
            </w:r>
            <w:r w:rsidR="007E3689" w:rsidRPr="005956F5">
              <w:rPr>
                <w:rFonts w:ascii="Tahoma" w:eastAsia="Times New Roman" w:hAnsi="Tahoma" w:cs="Tahoma"/>
                <w:color w:val="000000"/>
                <w:sz w:val="20"/>
                <w:szCs w:val="20"/>
              </w:rPr>
              <w:t>Employ</w:t>
            </w:r>
            <w:r w:rsidRPr="005956F5">
              <w:rPr>
                <w:rFonts w:ascii="Tahoma" w:eastAsia="Times New Roman" w:hAnsi="Tahoma" w:cs="Tahoma"/>
                <w:color w:val="000000"/>
                <w:sz w:val="20"/>
                <w:szCs w:val="20"/>
              </w:rPr>
              <w:t>-</w:t>
            </w:r>
          </w:p>
          <w:p w:rsidR="007E3689" w:rsidRPr="005956F5" w:rsidRDefault="007E3689" w:rsidP="00FB23A1">
            <w:pPr>
              <w:tabs>
                <w:tab w:val="left" w:pos="-45"/>
              </w:tabs>
              <w:spacing w:after="0" w:line="240" w:lineRule="auto"/>
              <w:ind w:left="-3" w:right="-108" w:hanging="6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ment</w:t>
            </w:r>
          </w:p>
        </w:tc>
        <w:tc>
          <w:tcPr>
            <w:tcW w:w="990" w:type="dxa"/>
            <w:tcBorders>
              <w:top w:val="nil"/>
              <w:left w:val="nil"/>
              <w:bottom w:val="single" w:sz="4" w:space="0" w:color="auto"/>
              <w:right w:val="single" w:sz="4" w:space="0" w:color="auto"/>
            </w:tcBorders>
            <w:shd w:val="clear" w:color="auto" w:fill="auto"/>
            <w:noWrap/>
            <w:vAlign w:val="bottom"/>
          </w:tcPr>
          <w:p w:rsidR="007E3689" w:rsidRPr="005956F5" w:rsidRDefault="007E3689" w:rsidP="007E3689">
            <w:pPr>
              <w:tabs>
                <w:tab w:val="left" w:pos="702"/>
                <w:tab w:val="left" w:pos="852"/>
              </w:tabs>
              <w:spacing w:after="0" w:line="240" w:lineRule="auto"/>
              <w:ind w:left="152" w:right="-108" w:hanging="26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Unempl.      Rate</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E3689" w:rsidRPr="005956F5" w:rsidRDefault="007E3689" w:rsidP="00E545C9">
            <w:pPr>
              <w:tabs>
                <w:tab w:val="left" w:pos="702"/>
                <w:tab w:val="left" w:pos="852"/>
              </w:tabs>
              <w:spacing w:after="0" w:line="240" w:lineRule="auto"/>
              <w:ind w:left="152" w:right="-108" w:hanging="26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w:t>
            </w:r>
            <w:r w:rsidR="00E545C9" w:rsidRPr="005956F5">
              <w:rPr>
                <w:rFonts w:ascii="Tahoma" w:eastAsia="Times New Roman" w:hAnsi="Tahoma" w:cs="Tahoma"/>
                <w:color w:val="000000"/>
                <w:sz w:val="20"/>
                <w:szCs w:val="20"/>
              </w:rPr>
              <w:t xml:space="preserve">   Labor</w:t>
            </w:r>
          </w:p>
          <w:p w:rsidR="00E545C9" w:rsidRPr="005956F5" w:rsidRDefault="00E545C9" w:rsidP="00E545C9">
            <w:pPr>
              <w:tabs>
                <w:tab w:val="left" w:pos="702"/>
                <w:tab w:val="left" w:pos="852"/>
              </w:tabs>
              <w:spacing w:after="0" w:line="240" w:lineRule="auto"/>
              <w:ind w:left="-108" w:right="-108" w:firstLine="350"/>
              <w:rPr>
                <w:rFonts w:ascii="Tahoma" w:eastAsia="Times New Roman" w:hAnsi="Tahoma" w:cs="Tahoma"/>
                <w:color w:val="000000"/>
                <w:sz w:val="20"/>
                <w:szCs w:val="20"/>
              </w:rPr>
            </w:pPr>
            <w:r w:rsidRPr="005956F5">
              <w:rPr>
                <w:rFonts w:ascii="Tahoma" w:eastAsia="Times New Roman" w:hAnsi="Tahoma" w:cs="Tahoma"/>
                <w:color w:val="000000"/>
                <w:sz w:val="20"/>
                <w:szCs w:val="20"/>
              </w:rPr>
              <w:t>force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3689" w:rsidRPr="005956F5" w:rsidRDefault="009563A8" w:rsidP="007E3689">
            <w:pPr>
              <w:tabs>
                <w:tab w:val="left" w:pos="-45"/>
              </w:tabs>
              <w:spacing w:after="0" w:line="240" w:lineRule="auto"/>
              <w:ind w:left="-3" w:right="-108" w:hanging="6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w:t>
            </w:r>
            <w:r w:rsidR="007E3689" w:rsidRPr="005956F5">
              <w:rPr>
                <w:rFonts w:ascii="Tahoma" w:eastAsia="Times New Roman" w:hAnsi="Tahoma" w:cs="Tahoma"/>
                <w:color w:val="000000"/>
                <w:sz w:val="20"/>
                <w:szCs w:val="20"/>
              </w:rPr>
              <w:t>Employ</w:t>
            </w:r>
            <w:r w:rsidR="003E33D6" w:rsidRPr="005956F5">
              <w:rPr>
                <w:rFonts w:ascii="Tahoma" w:eastAsia="Times New Roman" w:hAnsi="Tahoma" w:cs="Tahoma"/>
                <w:color w:val="000000"/>
                <w:sz w:val="20"/>
                <w:szCs w:val="20"/>
              </w:rPr>
              <w:t>-</w:t>
            </w:r>
          </w:p>
          <w:p w:rsidR="007E3689" w:rsidRPr="005956F5" w:rsidRDefault="007E3689" w:rsidP="007E3689">
            <w:pPr>
              <w:tabs>
                <w:tab w:val="left" w:pos="0"/>
              </w:tabs>
              <w:spacing w:after="0" w:line="240" w:lineRule="auto"/>
              <w:ind w:left="-3" w:right="-720" w:hanging="105"/>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ment</w:t>
            </w:r>
          </w:p>
        </w:tc>
        <w:tc>
          <w:tcPr>
            <w:tcW w:w="1001" w:type="dxa"/>
            <w:tcBorders>
              <w:top w:val="nil"/>
              <w:left w:val="nil"/>
              <w:bottom w:val="single" w:sz="4" w:space="0" w:color="auto"/>
              <w:right w:val="single" w:sz="4" w:space="0" w:color="auto"/>
            </w:tcBorders>
            <w:shd w:val="clear" w:color="auto" w:fill="auto"/>
            <w:noWrap/>
            <w:vAlign w:val="bottom"/>
          </w:tcPr>
          <w:p w:rsidR="007E3689" w:rsidRPr="005956F5" w:rsidRDefault="00B83225" w:rsidP="00B83225">
            <w:pPr>
              <w:tabs>
                <w:tab w:val="left" w:pos="0"/>
              </w:tabs>
              <w:spacing w:after="0" w:line="240" w:lineRule="auto"/>
              <w:ind w:left="-3" w:right="-1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Unempl.     Rate</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Abilene </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0.65</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1.54</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4.7</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0.33</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1.32</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3.8</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Amarillo </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0.64</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1.41</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4.0</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-1.04</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0.64</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3.1</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Austin-Round Rock </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3.33</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4.36</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4.5</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0.59</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1.69</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3.5</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Beaumont-Port Arth.</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-1.64</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0.06</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9.1</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1.22</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4.14</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6.5</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Brownsville-Harling.</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1.62</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-0.46</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9.2</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-1.59</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0.46</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7.4</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College Station-Bryan </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2.32</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3.26</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4.3</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-1.30</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-0.39</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3.5</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Corpus Christi </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0.91</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1.76</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5.6</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0.82</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1.79</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4.8</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Dallas-Ft Worth-Arl.</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2.08</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3.11</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5.5</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1.45</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2.86</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4.2</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El Paso </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0.39</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1.82</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7.1</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-2.43</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-0.72</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5.5</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Houston-Sugar Land</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1.89</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2.87</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5.4</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1.00</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2.11</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4.3</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Killeen-Temple </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0.57</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1.41</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6.3</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-0.51</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1.05</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4.9</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Laredo </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0.71</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1.52</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5.6</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0.86</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2.03</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4.5</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Longview </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-1.26</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-0.52</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5.5</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1.60</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3.02</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4.2</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Lubbock </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1.18</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2.20</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4.2</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0.07</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0.96</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3.4</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McAllen-Edin.-Miss.</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1.23</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2.36</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9.7</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-0.57</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1.49</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7.8</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Midland </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4.74</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5.35</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3.2</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6.43</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6.88</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2.8</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Odessa </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3.00</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3.63</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3.8</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6.03</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6.37</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3.5</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San Angelo </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-0.85</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-1.55</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4.5</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0.86</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1.58</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3.8</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San Antonio</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1.75</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2.75</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5.1</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1.04</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2.37</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3.9</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Sherman-Denison </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1.33</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2.87</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5.4</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-0.64</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0.69</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4.1</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Texarkana </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-2.24</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-2.02</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7.1</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-0.58</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1.05</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5.5</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Tyler</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0.92</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1.86</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5.9</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0.47</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2.03</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4.4</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Victoria </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1.86</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2.95</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4.6</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1.77</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2.75</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3.7</w:t>
            </w:r>
          </w:p>
        </w:tc>
      </w:tr>
      <w:tr w:rsidR="007E3689" w:rsidRPr="003E33D6" w:rsidTr="005956F5">
        <w:trPr>
          <w:trHeight w:val="300"/>
        </w:trPr>
        <w:tc>
          <w:tcPr>
            <w:tcW w:w="2265"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Waco </w:t>
            </w:r>
          </w:p>
        </w:tc>
        <w:tc>
          <w:tcPr>
            <w:tcW w:w="1170" w:type="dxa"/>
            <w:tcBorders>
              <w:top w:val="nil"/>
              <w:left w:val="nil"/>
              <w:bottom w:val="nil"/>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0.08</w:t>
            </w:r>
          </w:p>
        </w:tc>
        <w:tc>
          <w:tcPr>
            <w:tcW w:w="1170" w:type="dxa"/>
            <w:tcBorders>
              <w:top w:val="nil"/>
              <w:left w:val="nil"/>
              <w:bottom w:val="nil"/>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1.06</w:t>
            </w:r>
          </w:p>
        </w:tc>
        <w:tc>
          <w:tcPr>
            <w:tcW w:w="990" w:type="dxa"/>
            <w:tcBorders>
              <w:top w:val="nil"/>
              <w:left w:val="single" w:sz="4" w:space="0" w:color="auto"/>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5.5</w:t>
            </w:r>
          </w:p>
        </w:tc>
        <w:tc>
          <w:tcPr>
            <w:tcW w:w="1260" w:type="dxa"/>
            <w:tcBorders>
              <w:top w:val="nil"/>
              <w:left w:val="nil"/>
              <w:bottom w:val="nil"/>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-0.04</w:t>
            </w:r>
          </w:p>
        </w:tc>
        <w:tc>
          <w:tcPr>
            <w:tcW w:w="1080"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1.31</w:t>
            </w:r>
          </w:p>
        </w:tc>
        <w:tc>
          <w:tcPr>
            <w:tcW w:w="1001" w:type="dxa"/>
            <w:tcBorders>
              <w:top w:val="nil"/>
              <w:left w:val="nil"/>
              <w:bottom w:val="nil"/>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4.2</w:t>
            </w:r>
          </w:p>
        </w:tc>
      </w:tr>
      <w:tr w:rsidR="007E3689" w:rsidRPr="003E33D6" w:rsidTr="00F560AB">
        <w:trPr>
          <w:trHeight w:val="324"/>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7E3689" w:rsidRPr="005956F5" w:rsidRDefault="007E3689" w:rsidP="00FB23A1">
            <w:pPr>
              <w:tabs>
                <w:tab w:val="left" w:pos="0"/>
              </w:tabs>
              <w:spacing w:after="0" w:line="240" w:lineRule="auto"/>
              <w:ind w:left="-3"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Wichita Falls</w:t>
            </w:r>
          </w:p>
        </w:tc>
        <w:tc>
          <w:tcPr>
            <w:tcW w:w="1170" w:type="dxa"/>
            <w:tcBorders>
              <w:top w:val="nil"/>
              <w:left w:val="nil"/>
              <w:bottom w:val="single" w:sz="4" w:space="0" w:color="auto"/>
              <w:right w:val="single" w:sz="4" w:space="0" w:color="auto"/>
            </w:tcBorders>
            <w:shd w:val="clear" w:color="auto" w:fill="auto"/>
            <w:noWrap/>
            <w:vAlign w:val="bottom"/>
            <w:hideMark/>
          </w:tcPr>
          <w:p w:rsidR="007E3689" w:rsidRPr="005956F5" w:rsidRDefault="007E3689" w:rsidP="00FB23A1">
            <w:pPr>
              <w:tabs>
                <w:tab w:val="left" w:pos="-92"/>
              </w:tabs>
              <w:spacing w:after="0" w:line="240" w:lineRule="auto"/>
              <w:ind w:left="-3"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-0.82</w:t>
            </w:r>
          </w:p>
        </w:tc>
        <w:tc>
          <w:tcPr>
            <w:tcW w:w="1170" w:type="dxa"/>
            <w:tcBorders>
              <w:top w:val="nil"/>
              <w:left w:val="nil"/>
              <w:bottom w:val="single" w:sz="4" w:space="0" w:color="auto"/>
              <w:right w:val="nil"/>
            </w:tcBorders>
            <w:shd w:val="clear" w:color="auto" w:fill="auto"/>
            <w:noWrap/>
            <w:vAlign w:val="bottom"/>
            <w:hideMark/>
          </w:tcPr>
          <w:p w:rsidR="007E3689" w:rsidRPr="005956F5" w:rsidRDefault="007E3689" w:rsidP="00FB23A1">
            <w:pPr>
              <w:tabs>
                <w:tab w:val="left" w:pos="-45"/>
              </w:tabs>
              <w:spacing w:after="0" w:line="240" w:lineRule="auto"/>
              <w:ind w:left="-3" w:right="-108" w:hanging="60"/>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0.14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5.2</w:t>
            </w:r>
          </w:p>
        </w:tc>
        <w:tc>
          <w:tcPr>
            <w:tcW w:w="1260" w:type="dxa"/>
            <w:tcBorders>
              <w:top w:val="nil"/>
              <w:left w:val="nil"/>
              <w:bottom w:val="single" w:sz="4" w:space="0" w:color="auto"/>
              <w:right w:val="single" w:sz="4" w:space="0" w:color="auto"/>
            </w:tcBorders>
            <w:shd w:val="clear" w:color="auto" w:fill="auto"/>
            <w:noWrap/>
            <w:vAlign w:val="bottom"/>
            <w:hideMark/>
          </w:tcPr>
          <w:p w:rsidR="007E3689" w:rsidRPr="005956F5" w:rsidRDefault="007E3689" w:rsidP="007E3689">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-1.82</w:t>
            </w:r>
          </w:p>
        </w:tc>
        <w:tc>
          <w:tcPr>
            <w:tcW w:w="1080" w:type="dxa"/>
            <w:tcBorders>
              <w:top w:val="nil"/>
              <w:left w:val="nil"/>
              <w:bottom w:val="single" w:sz="4" w:space="0" w:color="auto"/>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hanging="15"/>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-0.81</w:t>
            </w:r>
          </w:p>
        </w:tc>
        <w:tc>
          <w:tcPr>
            <w:tcW w:w="1001" w:type="dxa"/>
            <w:tcBorders>
              <w:top w:val="nil"/>
              <w:left w:val="nil"/>
              <w:bottom w:val="single" w:sz="4" w:space="0" w:color="auto"/>
              <w:right w:val="single" w:sz="4" w:space="0" w:color="auto"/>
            </w:tcBorders>
            <w:shd w:val="clear" w:color="auto" w:fill="auto"/>
            <w:noWrap/>
            <w:vAlign w:val="bottom"/>
            <w:hideMark/>
          </w:tcPr>
          <w:p w:rsidR="007E3689" w:rsidRPr="005956F5" w:rsidRDefault="007E3689" w:rsidP="00B83225">
            <w:pPr>
              <w:tabs>
                <w:tab w:val="left" w:pos="0"/>
              </w:tabs>
              <w:spacing w:after="0" w:line="240" w:lineRule="auto"/>
              <w:ind w:left="-3" w:right="-10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4.2</w:t>
            </w:r>
          </w:p>
        </w:tc>
      </w:tr>
      <w:tr w:rsidR="007E3689" w:rsidRPr="003E33D6" w:rsidTr="00F560AB">
        <w:trPr>
          <w:trHeight w:val="44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7E3689" w:rsidRPr="005956F5" w:rsidRDefault="007E3689" w:rsidP="00F560AB">
            <w:pPr>
              <w:tabs>
                <w:tab w:val="left" w:pos="0"/>
              </w:tabs>
              <w:spacing w:after="0" w:line="360" w:lineRule="auto"/>
              <w:ind w:left="450" w:right="-720"/>
              <w:rPr>
                <w:rFonts w:ascii="Tahoma" w:eastAsia="Times New Roman" w:hAnsi="Tahoma" w:cs="Tahoma"/>
                <w:color w:val="000000"/>
                <w:sz w:val="20"/>
                <w:szCs w:val="20"/>
              </w:rPr>
            </w:pPr>
            <w:r w:rsidRPr="005956F5">
              <w:rPr>
                <w:rFonts w:ascii="Tahoma" w:eastAsia="Times New Roman" w:hAnsi="Tahoma" w:cs="Tahoma"/>
                <w:color w:val="000000"/>
                <w:sz w:val="20"/>
                <w:szCs w:val="20"/>
              </w:rPr>
              <w:t>State of Texas</w:t>
            </w:r>
          </w:p>
        </w:tc>
        <w:tc>
          <w:tcPr>
            <w:tcW w:w="1170" w:type="dxa"/>
            <w:tcBorders>
              <w:top w:val="nil"/>
              <w:left w:val="nil"/>
              <w:bottom w:val="single" w:sz="4" w:space="0" w:color="auto"/>
              <w:right w:val="single" w:sz="4" w:space="0" w:color="auto"/>
            </w:tcBorders>
            <w:shd w:val="clear" w:color="auto" w:fill="auto"/>
            <w:noWrap/>
            <w:vAlign w:val="bottom"/>
            <w:hideMark/>
          </w:tcPr>
          <w:p w:rsidR="007E3689" w:rsidRPr="005956F5" w:rsidRDefault="007E3689" w:rsidP="00F560AB">
            <w:pPr>
              <w:tabs>
                <w:tab w:val="left" w:pos="-92"/>
              </w:tabs>
              <w:spacing w:after="0" w:line="360" w:lineRule="auto"/>
              <w:ind w:left="-2" w:right="-18" w:firstLine="1"/>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1.71</w:t>
            </w:r>
          </w:p>
        </w:tc>
        <w:tc>
          <w:tcPr>
            <w:tcW w:w="1170" w:type="dxa"/>
            <w:tcBorders>
              <w:top w:val="nil"/>
              <w:left w:val="nil"/>
              <w:bottom w:val="single" w:sz="4" w:space="0" w:color="auto"/>
              <w:right w:val="single" w:sz="4" w:space="0" w:color="auto"/>
            </w:tcBorders>
            <w:shd w:val="clear" w:color="auto" w:fill="auto"/>
            <w:noWrap/>
            <w:vAlign w:val="bottom"/>
            <w:hideMark/>
          </w:tcPr>
          <w:p w:rsidR="007E3689" w:rsidRPr="005956F5" w:rsidRDefault="007E3689" w:rsidP="00F560AB">
            <w:pPr>
              <w:tabs>
                <w:tab w:val="left" w:pos="-45"/>
              </w:tabs>
              <w:spacing w:after="0" w:line="360" w:lineRule="auto"/>
              <w:ind w:left="450" w:right="-108" w:hanging="558"/>
              <w:jc w:val="center"/>
              <w:rPr>
                <w:rFonts w:ascii="Tahoma" w:eastAsia="Times New Roman" w:hAnsi="Tahoma" w:cs="Tahoma"/>
                <w:color w:val="000000"/>
                <w:sz w:val="20"/>
                <w:szCs w:val="20"/>
              </w:rPr>
            </w:pPr>
            <w:r w:rsidRPr="005956F5">
              <w:rPr>
                <w:rFonts w:ascii="Tahoma" w:eastAsia="Times New Roman" w:hAnsi="Tahoma" w:cs="Tahoma"/>
                <w:color w:val="000000"/>
                <w:sz w:val="20"/>
                <w:szCs w:val="20"/>
              </w:rPr>
              <w:t>2.74</w:t>
            </w:r>
          </w:p>
        </w:tc>
        <w:tc>
          <w:tcPr>
            <w:tcW w:w="990" w:type="dxa"/>
            <w:tcBorders>
              <w:top w:val="nil"/>
              <w:left w:val="nil"/>
              <w:bottom w:val="single" w:sz="4" w:space="0" w:color="auto"/>
              <w:right w:val="single" w:sz="4" w:space="0" w:color="auto"/>
            </w:tcBorders>
            <w:shd w:val="clear" w:color="auto" w:fill="auto"/>
            <w:noWrap/>
            <w:vAlign w:val="bottom"/>
            <w:hideMark/>
          </w:tcPr>
          <w:p w:rsidR="007E3689" w:rsidRPr="005956F5" w:rsidRDefault="007E3689" w:rsidP="00F560AB">
            <w:pPr>
              <w:tabs>
                <w:tab w:val="left" w:pos="0"/>
              </w:tabs>
              <w:spacing w:after="0" w:line="360" w:lineRule="auto"/>
              <w:ind w:right="-108"/>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w:t>
            </w:r>
            <w:r w:rsidR="003E33D6" w:rsidRPr="005956F5">
              <w:rPr>
                <w:rFonts w:ascii="Tahoma" w:eastAsia="Times New Roman" w:hAnsi="Tahoma" w:cs="Tahoma"/>
                <w:color w:val="000000"/>
                <w:sz w:val="20"/>
                <w:szCs w:val="20"/>
              </w:rPr>
              <w:t xml:space="preserve"> </w:t>
            </w:r>
            <w:r w:rsidRPr="005956F5">
              <w:rPr>
                <w:rFonts w:ascii="Tahoma" w:eastAsia="Times New Roman" w:hAnsi="Tahoma" w:cs="Tahoma"/>
                <w:color w:val="000000"/>
                <w:sz w:val="20"/>
                <w:szCs w:val="20"/>
              </w:rPr>
              <w:t>5.6</w:t>
            </w:r>
          </w:p>
        </w:tc>
        <w:tc>
          <w:tcPr>
            <w:tcW w:w="1260" w:type="dxa"/>
            <w:tcBorders>
              <w:top w:val="nil"/>
              <w:left w:val="nil"/>
              <w:bottom w:val="single" w:sz="4" w:space="0" w:color="auto"/>
              <w:right w:val="single" w:sz="4" w:space="0" w:color="auto"/>
            </w:tcBorders>
            <w:shd w:val="clear" w:color="auto" w:fill="auto"/>
            <w:noWrap/>
            <w:vAlign w:val="bottom"/>
            <w:hideMark/>
          </w:tcPr>
          <w:p w:rsidR="007E3689" w:rsidRPr="005956F5" w:rsidRDefault="007E3689" w:rsidP="00F560AB">
            <w:pPr>
              <w:tabs>
                <w:tab w:val="left" w:pos="0"/>
              </w:tabs>
              <w:spacing w:after="0" w:line="360" w:lineRule="auto"/>
              <w:ind w:left="450" w:right="-108" w:hanging="468"/>
              <w:jc w:val="both"/>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w:t>
            </w:r>
            <w:r w:rsidR="003E33D6" w:rsidRPr="005956F5">
              <w:rPr>
                <w:rFonts w:ascii="Tahoma" w:eastAsia="Times New Roman" w:hAnsi="Tahoma" w:cs="Tahoma"/>
                <w:color w:val="000000"/>
                <w:sz w:val="20"/>
                <w:szCs w:val="20"/>
              </w:rPr>
              <w:t xml:space="preserve">  </w:t>
            </w:r>
            <w:r w:rsidRPr="005956F5">
              <w:rPr>
                <w:rFonts w:ascii="Tahoma" w:eastAsia="Times New Roman" w:hAnsi="Tahoma" w:cs="Tahoma"/>
                <w:color w:val="000000"/>
                <w:sz w:val="20"/>
                <w:szCs w:val="20"/>
              </w:rPr>
              <w:t>0.71</w:t>
            </w:r>
          </w:p>
        </w:tc>
        <w:tc>
          <w:tcPr>
            <w:tcW w:w="1080" w:type="dxa"/>
            <w:tcBorders>
              <w:top w:val="nil"/>
              <w:left w:val="nil"/>
              <w:bottom w:val="single" w:sz="4" w:space="0" w:color="auto"/>
              <w:right w:val="single" w:sz="4" w:space="0" w:color="auto"/>
            </w:tcBorders>
            <w:shd w:val="clear" w:color="auto" w:fill="auto"/>
            <w:noWrap/>
            <w:vAlign w:val="bottom"/>
            <w:hideMark/>
          </w:tcPr>
          <w:p w:rsidR="007E3689" w:rsidRPr="005956F5" w:rsidRDefault="00B83225" w:rsidP="00F560AB">
            <w:pPr>
              <w:tabs>
                <w:tab w:val="left" w:pos="882"/>
              </w:tabs>
              <w:spacing w:after="0" w:line="360" w:lineRule="auto"/>
              <w:ind w:left="72" w:right="-720" w:hanging="9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w:t>
            </w:r>
            <w:r w:rsidR="007E3689" w:rsidRPr="005956F5">
              <w:rPr>
                <w:rFonts w:ascii="Tahoma" w:eastAsia="Times New Roman" w:hAnsi="Tahoma" w:cs="Tahoma"/>
                <w:color w:val="000000"/>
                <w:sz w:val="20"/>
                <w:szCs w:val="20"/>
              </w:rPr>
              <w:t>2.00</w:t>
            </w:r>
          </w:p>
        </w:tc>
        <w:tc>
          <w:tcPr>
            <w:tcW w:w="1001" w:type="dxa"/>
            <w:tcBorders>
              <w:top w:val="nil"/>
              <w:left w:val="nil"/>
              <w:bottom w:val="single" w:sz="4" w:space="0" w:color="auto"/>
              <w:right w:val="single" w:sz="4" w:space="0" w:color="auto"/>
            </w:tcBorders>
            <w:shd w:val="clear" w:color="auto" w:fill="auto"/>
            <w:noWrap/>
            <w:vAlign w:val="bottom"/>
            <w:hideMark/>
          </w:tcPr>
          <w:p w:rsidR="007E3689" w:rsidRPr="005956F5" w:rsidRDefault="00B83225" w:rsidP="00F560AB">
            <w:pPr>
              <w:tabs>
                <w:tab w:val="left" w:pos="0"/>
              </w:tabs>
              <w:spacing w:after="0" w:line="360" w:lineRule="auto"/>
              <w:ind w:left="450" w:right="-108" w:hanging="450"/>
              <w:rPr>
                <w:rFonts w:ascii="Tahoma" w:eastAsia="Times New Roman" w:hAnsi="Tahoma" w:cs="Tahoma"/>
                <w:color w:val="000000"/>
                <w:sz w:val="20"/>
                <w:szCs w:val="20"/>
              </w:rPr>
            </w:pPr>
            <w:r w:rsidRPr="005956F5">
              <w:rPr>
                <w:rFonts w:ascii="Tahoma" w:eastAsia="Times New Roman" w:hAnsi="Tahoma" w:cs="Tahoma"/>
                <w:color w:val="000000"/>
                <w:sz w:val="20"/>
                <w:szCs w:val="20"/>
              </w:rPr>
              <w:t xml:space="preserve">   </w:t>
            </w:r>
            <w:r w:rsidR="003E33D6" w:rsidRPr="005956F5">
              <w:rPr>
                <w:rFonts w:ascii="Tahoma" w:eastAsia="Times New Roman" w:hAnsi="Tahoma" w:cs="Tahoma"/>
                <w:color w:val="000000"/>
                <w:sz w:val="20"/>
                <w:szCs w:val="20"/>
              </w:rPr>
              <w:t xml:space="preserve"> </w:t>
            </w:r>
            <w:r w:rsidR="007E3689" w:rsidRPr="005956F5">
              <w:rPr>
                <w:rFonts w:ascii="Tahoma" w:eastAsia="Times New Roman" w:hAnsi="Tahoma" w:cs="Tahoma"/>
                <w:color w:val="000000"/>
                <w:sz w:val="20"/>
                <w:szCs w:val="20"/>
              </w:rPr>
              <w:t>4.3</w:t>
            </w:r>
          </w:p>
        </w:tc>
      </w:tr>
    </w:tbl>
    <w:p w:rsidR="0064226E" w:rsidRDefault="00DA57D8" w:rsidP="00FB23A1">
      <w:pPr>
        <w:tabs>
          <w:tab w:val="left" w:pos="0"/>
        </w:tabs>
        <w:spacing w:after="0"/>
        <w:ind w:left="450" w:right="-720" w:hanging="450"/>
        <w:rPr>
          <w:rFonts w:ascii="Tahoma" w:hAnsi="Tahoma" w:cs="Tahoma"/>
          <w:sz w:val="18"/>
          <w:szCs w:val="18"/>
        </w:rPr>
        <w:sectPr w:rsidR="0064226E" w:rsidSect="003E33D6">
          <w:type w:val="continuous"/>
          <w:pgSz w:w="12240" w:h="15840"/>
          <w:pgMar w:top="1440" w:right="1350" w:bottom="1440" w:left="2070" w:header="720" w:footer="720" w:gutter="0"/>
          <w:cols w:space="720"/>
          <w:docGrid w:linePitch="360"/>
        </w:sectPr>
      </w:pPr>
      <w:r w:rsidRPr="003E33D6">
        <w:rPr>
          <w:rFonts w:ascii="Tahoma" w:hAnsi="Tahoma" w:cs="Tahoma"/>
          <w:sz w:val="18"/>
          <w:szCs w:val="18"/>
        </w:rPr>
        <w:t>Source:  U.S. Department of Labor</w:t>
      </w:r>
      <w:r w:rsidR="0064226E">
        <w:rPr>
          <w:rFonts w:ascii="Tahoma" w:hAnsi="Tahoma" w:cs="Tahoma"/>
          <w:sz w:val="18"/>
          <w:szCs w:val="18"/>
        </w:rPr>
        <w:t xml:space="preserve"> </w:t>
      </w:r>
    </w:p>
    <w:p w:rsidR="00F53F54" w:rsidRDefault="0064226E" w:rsidP="0064226E">
      <w:pPr>
        <w:tabs>
          <w:tab w:val="left" w:pos="0"/>
          <w:tab w:val="left" w:pos="5445"/>
        </w:tabs>
        <w:spacing w:after="0"/>
        <w:ind w:right="-187"/>
        <w:jc w:val="both"/>
        <w:rPr>
          <w:rFonts w:ascii="Tahoma" w:hAnsi="Tahoma" w:cs="Tahoma"/>
          <w:sz w:val="28"/>
          <w:szCs w:val="28"/>
        </w:rPr>
      </w:pPr>
      <w:r w:rsidRPr="009563A8">
        <w:rPr>
          <w:rFonts w:ascii="Tahoma" w:hAnsi="Tahoma" w:cs="Tahoma"/>
          <w:sz w:val="28"/>
          <w:szCs w:val="28"/>
        </w:rPr>
        <w:lastRenderedPageBreak/>
        <w:t>Central Te</w:t>
      </w:r>
      <w:r>
        <w:rPr>
          <w:rFonts w:ascii="Tahoma" w:hAnsi="Tahoma" w:cs="Tahoma"/>
          <w:sz w:val="28"/>
          <w:szCs w:val="28"/>
        </w:rPr>
        <w:t>xas Inflation and Cost of Living</w:t>
      </w:r>
    </w:p>
    <w:p w:rsidR="00F53F54" w:rsidRDefault="00F53F54" w:rsidP="0064226E">
      <w:pPr>
        <w:tabs>
          <w:tab w:val="left" w:pos="0"/>
          <w:tab w:val="left" w:pos="5445"/>
        </w:tabs>
        <w:spacing w:after="0"/>
        <w:ind w:right="-187"/>
        <w:jc w:val="both"/>
        <w:rPr>
          <w:rFonts w:ascii="Tahoma" w:hAnsi="Tahoma" w:cs="Tahoma"/>
          <w:sz w:val="28"/>
          <w:szCs w:val="28"/>
        </w:rPr>
        <w:sectPr w:rsidR="00F53F54" w:rsidSect="003E33D6">
          <w:type w:val="continuous"/>
          <w:pgSz w:w="12240" w:h="15840"/>
          <w:pgMar w:top="1440" w:right="1350" w:bottom="1440" w:left="2070" w:header="720" w:footer="720" w:gutter="0"/>
          <w:cols w:space="720"/>
          <w:docGrid w:linePitch="360"/>
        </w:sectPr>
      </w:pPr>
    </w:p>
    <w:p w:rsidR="00765BC6" w:rsidRPr="00F53F54" w:rsidRDefault="00765BC6" w:rsidP="0064226E">
      <w:pPr>
        <w:tabs>
          <w:tab w:val="left" w:pos="0"/>
          <w:tab w:val="left" w:pos="5445"/>
        </w:tabs>
        <w:spacing w:after="0"/>
        <w:ind w:right="-187"/>
        <w:jc w:val="both"/>
        <w:rPr>
          <w:rFonts w:ascii="Tahoma" w:hAnsi="Tahoma" w:cs="Tahoma"/>
          <w:sz w:val="16"/>
          <w:szCs w:val="16"/>
        </w:rPr>
      </w:pPr>
    </w:p>
    <w:p w:rsidR="00765BC6" w:rsidRPr="00F53F54" w:rsidRDefault="00765BC6" w:rsidP="0064226E">
      <w:pPr>
        <w:tabs>
          <w:tab w:val="left" w:pos="0"/>
          <w:tab w:val="left" w:pos="5445"/>
        </w:tabs>
        <w:spacing w:after="0"/>
        <w:ind w:right="-187"/>
        <w:jc w:val="both"/>
        <w:rPr>
          <w:rFonts w:ascii="Tahoma" w:hAnsi="Tahoma" w:cs="Tahoma"/>
          <w:sz w:val="16"/>
          <w:szCs w:val="16"/>
        </w:rPr>
        <w:sectPr w:rsidR="00765BC6" w:rsidRPr="00F53F54" w:rsidSect="003E33D6">
          <w:type w:val="continuous"/>
          <w:pgSz w:w="12240" w:h="15840"/>
          <w:pgMar w:top="1440" w:right="1350" w:bottom="1440" w:left="2070" w:header="720" w:footer="720" w:gutter="0"/>
          <w:cols w:space="720"/>
          <w:docGrid w:linePitch="360"/>
        </w:sectPr>
      </w:pPr>
    </w:p>
    <w:p w:rsidR="004C4327" w:rsidRDefault="004C4327" w:rsidP="004C4327">
      <w:pPr>
        <w:tabs>
          <w:tab w:val="left" w:pos="0"/>
          <w:tab w:val="left" w:pos="540"/>
        </w:tabs>
        <w:spacing w:after="0"/>
        <w:jc w:val="both"/>
        <w:rPr>
          <w:rFonts w:ascii="Tahoma" w:hAnsi="Tahoma" w:cs="Tahoma"/>
        </w:rPr>
      </w:pPr>
      <w:r>
        <w:rPr>
          <w:rFonts w:cstheme="minorHAnsi"/>
        </w:rPr>
        <w:lastRenderedPageBreak/>
        <w:tab/>
      </w:r>
      <w:r w:rsidR="00833821" w:rsidRPr="00F53F54">
        <w:rPr>
          <w:rFonts w:ascii="Tahoma" w:hAnsi="Tahoma" w:cs="Tahoma"/>
        </w:rPr>
        <w:t xml:space="preserve">Figure </w:t>
      </w:r>
      <w:r w:rsidR="008D3CC5" w:rsidRPr="00F53F54">
        <w:rPr>
          <w:rFonts w:ascii="Tahoma" w:hAnsi="Tahoma" w:cs="Tahoma"/>
        </w:rPr>
        <w:t>2</w:t>
      </w:r>
      <w:r w:rsidR="00833821" w:rsidRPr="00F53F54">
        <w:rPr>
          <w:rFonts w:ascii="Tahoma" w:hAnsi="Tahoma" w:cs="Tahoma"/>
        </w:rPr>
        <w:t xml:space="preserve"> shows the bi-monthly ce</w:t>
      </w:r>
      <w:r w:rsidR="00833821" w:rsidRPr="00F53F54">
        <w:rPr>
          <w:rFonts w:ascii="Tahoma" w:hAnsi="Tahoma" w:cs="Tahoma"/>
        </w:rPr>
        <w:t>n</w:t>
      </w:r>
      <w:r w:rsidR="00833821" w:rsidRPr="00F53F54">
        <w:rPr>
          <w:rFonts w:ascii="Tahoma" w:hAnsi="Tahoma" w:cs="Tahoma"/>
        </w:rPr>
        <w:t xml:space="preserve">tral Texas consumer price index from 2012 through early 2015.  </w:t>
      </w:r>
      <w:r w:rsidR="00490C1B" w:rsidRPr="00F53F54">
        <w:rPr>
          <w:rFonts w:ascii="Tahoma" w:hAnsi="Tahoma" w:cs="Tahoma"/>
        </w:rPr>
        <w:t xml:space="preserve">The lower price of gasoline has </w:t>
      </w:r>
      <w:r w:rsidR="00A4780E" w:rsidRPr="00F53F54">
        <w:rPr>
          <w:rFonts w:ascii="Tahoma" w:hAnsi="Tahoma" w:cs="Tahoma"/>
        </w:rPr>
        <w:t xml:space="preserve">lowered </w:t>
      </w:r>
      <w:r w:rsidR="00490C1B" w:rsidRPr="00F53F54">
        <w:rPr>
          <w:rFonts w:ascii="Tahoma" w:hAnsi="Tahoma" w:cs="Tahoma"/>
        </w:rPr>
        <w:t>transport</w:t>
      </w:r>
      <w:r w:rsidR="00490C1B" w:rsidRPr="00F53F54">
        <w:rPr>
          <w:rFonts w:ascii="Tahoma" w:hAnsi="Tahoma" w:cs="Tahoma"/>
        </w:rPr>
        <w:t>a</w:t>
      </w:r>
      <w:r w:rsidR="00490C1B" w:rsidRPr="00F53F54">
        <w:rPr>
          <w:rFonts w:ascii="Tahoma" w:hAnsi="Tahoma" w:cs="Tahoma"/>
        </w:rPr>
        <w:t>tion costs</w:t>
      </w:r>
      <w:r w:rsidR="00A4780E" w:rsidRPr="00F53F54">
        <w:rPr>
          <w:rFonts w:ascii="Tahoma" w:hAnsi="Tahoma" w:cs="Tahoma"/>
        </w:rPr>
        <w:t xml:space="preserve"> of food and other delivered items </w:t>
      </w:r>
      <w:r w:rsidR="00F70C13" w:rsidRPr="00F53F54">
        <w:rPr>
          <w:rFonts w:ascii="Tahoma" w:hAnsi="Tahoma" w:cs="Tahoma"/>
        </w:rPr>
        <w:t>helping to reduce the cost of living from an annual</w:t>
      </w:r>
      <w:r w:rsidR="00833821" w:rsidRPr="00F53F54">
        <w:rPr>
          <w:rFonts w:ascii="Tahoma" w:hAnsi="Tahoma" w:cs="Tahoma"/>
        </w:rPr>
        <w:t xml:space="preserve"> average of 3.1 percent in 2011 to below 1 percent since November 2014.</w:t>
      </w:r>
      <w:r w:rsidR="00F70C13" w:rsidRPr="00F53F54">
        <w:rPr>
          <w:rFonts w:ascii="Tahoma" w:hAnsi="Tahoma" w:cs="Tahoma"/>
        </w:rPr>
        <w:t xml:space="preserve">  </w:t>
      </w:r>
      <w:r w:rsidR="00833821" w:rsidRPr="00F53F54">
        <w:rPr>
          <w:rFonts w:ascii="Tahoma" w:hAnsi="Tahoma" w:cs="Tahoma"/>
        </w:rPr>
        <w:t>The</w:t>
      </w:r>
      <w:r w:rsidR="005A74E4" w:rsidRPr="00F53F54">
        <w:rPr>
          <w:rFonts w:ascii="Tahoma" w:hAnsi="Tahoma" w:cs="Tahoma"/>
        </w:rPr>
        <w:t xml:space="preserve"> lower inflation rate</w:t>
      </w:r>
      <w:r w:rsidR="00833821" w:rsidRPr="00F53F54">
        <w:rPr>
          <w:rFonts w:ascii="Tahoma" w:hAnsi="Tahoma" w:cs="Tahoma"/>
        </w:rPr>
        <w:t xml:space="preserve"> combined with increased wage income</w:t>
      </w:r>
      <w:r w:rsidR="005A74E4" w:rsidRPr="00F53F54">
        <w:rPr>
          <w:rFonts w:ascii="Tahoma" w:hAnsi="Tahoma" w:cs="Tahoma"/>
        </w:rPr>
        <w:t xml:space="preserve"> has i</w:t>
      </w:r>
      <w:r w:rsidR="005A74E4" w:rsidRPr="00F53F54">
        <w:rPr>
          <w:rFonts w:ascii="Tahoma" w:hAnsi="Tahoma" w:cs="Tahoma"/>
        </w:rPr>
        <w:t>n</w:t>
      </w:r>
      <w:r w:rsidR="005A74E4" w:rsidRPr="00F53F54">
        <w:rPr>
          <w:rFonts w:ascii="Tahoma" w:hAnsi="Tahoma" w:cs="Tahoma"/>
        </w:rPr>
        <w:t>creased disposable in</w:t>
      </w:r>
      <w:r w:rsidR="00833821" w:rsidRPr="00F53F54">
        <w:rPr>
          <w:rFonts w:ascii="Tahoma" w:hAnsi="Tahoma" w:cs="Tahoma"/>
        </w:rPr>
        <w:t xml:space="preserve">come and retail spending by area households.  </w:t>
      </w:r>
    </w:p>
    <w:p w:rsidR="009563A8" w:rsidRPr="00F53F54" w:rsidRDefault="004C4327" w:rsidP="00B9785E">
      <w:pPr>
        <w:tabs>
          <w:tab w:val="left" w:pos="0"/>
          <w:tab w:val="left" w:pos="450"/>
          <w:tab w:val="left" w:pos="540"/>
        </w:tabs>
        <w:spacing w:after="0"/>
        <w:jc w:val="both"/>
        <w:rPr>
          <w:rFonts w:ascii="Tahoma" w:hAnsi="Tahoma" w:cs="Tahoma"/>
        </w:rPr>
      </w:pPr>
      <w:r>
        <w:rPr>
          <w:rFonts w:ascii="Tahoma" w:hAnsi="Tahoma" w:cs="Tahoma"/>
        </w:rPr>
        <w:lastRenderedPageBreak/>
        <w:tab/>
        <w:t>The core inflation rate that exclud</w:t>
      </w:r>
      <w:r w:rsidR="005956F5">
        <w:rPr>
          <w:rFonts w:ascii="Tahoma" w:hAnsi="Tahoma" w:cs="Tahoma"/>
        </w:rPr>
        <w:t xml:space="preserve">es food and energy averaged 1.2% </w:t>
      </w:r>
      <w:r>
        <w:rPr>
          <w:rFonts w:ascii="Tahoma" w:hAnsi="Tahoma" w:cs="Tahoma"/>
        </w:rPr>
        <w:t xml:space="preserve">in 2014.  In May 2015 the </w:t>
      </w:r>
      <w:r w:rsidR="005956F5">
        <w:rPr>
          <w:rFonts w:ascii="Tahoma" w:hAnsi="Tahoma" w:cs="Tahoma"/>
        </w:rPr>
        <w:t xml:space="preserve">core </w:t>
      </w:r>
      <w:r>
        <w:rPr>
          <w:rFonts w:ascii="Tahoma" w:hAnsi="Tahoma" w:cs="Tahoma"/>
        </w:rPr>
        <w:t>annual rate of i</w:t>
      </w:r>
      <w:r>
        <w:rPr>
          <w:rFonts w:ascii="Tahoma" w:hAnsi="Tahoma" w:cs="Tahoma"/>
        </w:rPr>
        <w:t>n</w:t>
      </w:r>
      <w:r>
        <w:rPr>
          <w:rFonts w:ascii="Tahoma" w:hAnsi="Tahoma" w:cs="Tahoma"/>
        </w:rPr>
        <w:t xml:space="preserve">flation was 1.6% largely due to </w:t>
      </w:r>
      <w:r w:rsidR="00B9785E">
        <w:rPr>
          <w:rFonts w:ascii="Tahoma" w:hAnsi="Tahoma" w:cs="Tahoma"/>
        </w:rPr>
        <w:t xml:space="preserve">the </w:t>
      </w:r>
      <w:r w:rsidR="005956F5">
        <w:rPr>
          <w:rFonts w:ascii="Tahoma" w:hAnsi="Tahoma" w:cs="Tahoma"/>
        </w:rPr>
        <w:t xml:space="preserve">rising </w:t>
      </w:r>
      <w:r w:rsidR="00B9785E">
        <w:rPr>
          <w:rFonts w:ascii="Tahoma" w:hAnsi="Tahoma" w:cs="Tahoma"/>
        </w:rPr>
        <w:t>cost of housing</w:t>
      </w:r>
      <w:r w:rsidR="005956F5">
        <w:rPr>
          <w:rFonts w:ascii="Tahoma" w:hAnsi="Tahoma" w:cs="Tahoma"/>
        </w:rPr>
        <w:t>.</w:t>
      </w:r>
      <w:r w:rsidR="00B9785E">
        <w:rPr>
          <w:rFonts w:ascii="Tahoma" w:hAnsi="Tahoma" w:cs="Tahoma"/>
        </w:rPr>
        <w:t xml:space="preserve"> </w:t>
      </w:r>
      <w:r w:rsidR="005956F5">
        <w:rPr>
          <w:rFonts w:ascii="Tahoma" w:hAnsi="Tahoma" w:cs="Tahoma"/>
        </w:rPr>
        <w:t xml:space="preserve"> </w:t>
      </w:r>
      <w:r w:rsidR="00B9785E">
        <w:rPr>
          <w:rFonts w:ascii="Tahoma" w:hAnsi="Tahoma" w:cs="Tahoma"/>
        </w:rPr>
        <w:t xml:space="preserve">However, </w:t>
      </w:r>
      <w:r w:rsidR="005956F5">
        <w:rPr>
          <w:rFonts w:ascii="Tahoma" w:hAnsi="Tahoma" w:cs="Tahoma"/>
        </w:rPr>
        <w:t>despite a 2.3% increase in the median price</w:t>
      </w:r>
      <w:r w:rsidR="009E5132">
        <w:rPr>
          <w:rFonts w:ascii="Tahoma" w:hAnsi="Tahoma" w:cs="Tahoma"/>
        </w:rPr>
        <w:t>,</w:t>
      </w:r>
      <w:r w:rsidR="005956F5">
        <w:rPr>
          <w:rFonts w:ascii="Tahoma" w:hAnsi="Tahoma" w:cs="Tahoma"/>
        </w:rPr>
        <w:t xml:space="preserve"> </w:t>
      </w:r>
      <w:r w:rsidR="00B9785E">
        <w:rPr>
          <w:rFonts w:ascii="Tahoma" w:hAnsi="Tahoma" w:cs="Tahoma"/>
        </w:rPr>
        <w:t xml:space="preserve">the </w:t>
      </w:r>
      <w:r w:rsidR="00DC5F6D">
        <w:rPr>
          <w:rFonts w:ascii="Tahoma" w:hAnsi="Tahoma" w:cs="Tahoma"/>
        </w:rPr>
        <w:t xml:space="preserve">Waco </w:t>
      </w:r>
      <w:r w:rsidR="005956F5">
        <w:rPr>
          <w:rFonts w:ascii="Tahoma" w:hAnsi="Tahoma" w:cs="Tahoma"/>
        </w:rPr>
        <w:t xml:space="preserve">housing </w:t>
      </w:r>
      <w:r w:rsidR="001B7466" w:rsidRPr="00F53F54">
        <w:rPr>
          <w:rFonts w:ascii="Tahoma" w:hAnsi="Tahoma" w:cs="Tahoma"/>
        </w:rPr>
        <w:t>affordability index conti</w:t>
      </w:r>
      <w:r w:rsidR="001B7466" w:rsidRPr="00F53F54">
        <w:rPr>
          <w:rFonts w:ascii="Tahoma" w:hAnsi="Tahoma" w:cs="Tahoma"/>
        </w:rPr>
        <w:t>n</w:t>
      </w:r>
      <w:r w:rsidR="001B7466" w:rsidRPr="00F53F54">
        <w:rPr>
          <w:rFonts w:ascii="Tahoma" w:hAnsi="Tahoma" w:cs="Tahoma"/>
        </w:rPr>
        <w:t>ues to exceed the</w:t>
      </w:r>
      <w:r w:rsidR="00DC5F6D">
        <w:rPr>
          <w:rFonts w:ascii="Tahoma" w:hAnsi="Tahoma" w:cs="Tahoma"/>
        </w:rPr>
        <w:t xml:space="preserve"> Texas index by 16% and the </w:t>
      </w:r>
      <w:r w:rsidR="001B7466" w:rsidRPr="00F53F54">
        <w:rPr>
          <w:rFonts w:ascii="Tahoma" w:hAnsi="Tahoma" w:cs="Tahoma"/>
        </w:rPr>
        <w:t xml:space="preserve">national </w:t>
      </w:r>
      <w:r w:rsidR="00DC5F6D">
        <w:rPr>
          <w:rFonts w:ascii="Tahoma" w:hAnsi="Tahoma" w:cs="Tahoma"/>
        </w:rPr>
        <w:t xml:space="preserve">index by 27%.  </w:t>
      </w:r>
      <w:r w:rsidR="00B9785E">
        <w:rPr>
          <w:rFonts w:ascii="Tahoma" w:hAnsi="Tahoma" w:cs="Tahoma"/>
        </w:rPr>
        <w:t>The</w:t>
      </w:r>
      <w:r w:rsidR="001B7466" w:rsidRPr="00F53F54">
        <w:rPr>
          <w:rFonts w:ascii="Tahoma" w:hAnsi="Tahoma" w:cs="Tahoma"/>
        </w:rPr>
        <w:t xml:space="preserve"> A</w:t>
      </w:r>
      <w:r w:rsidR="001B7466" w:rsidRPr="00F53F54">
        <w:rPr>
          <w:rFonts w:ascii="Tahoma" w:hAnsi="Tahoma" w:cs="Tahoma"/>
        </w:rPr>
        <w:t>C</w:t>
      </w:r>
      <w:r w:rsidR="001B7466" w:rsidRPr="00F53F54">
        <w:rPr>
          <w:rFonts w:ascii="Tahoma" w:hAnsi="Tahoma" w:cs="Tahoma"/>
        </w:rPr>
        <w:t xml:space="preserve">CRA cost of living index for Waco </w:t>
      </w:r>
      <w:r w:rsidR="00B9785E">
        <w:rPr>
          <w:rFonts w:ascii="Tahoma" w:hAnsi="Tahoma" w:cs="Tahoma"/>
        </w:rPr>
        <w:t>is a relatively low</w:t>
      </w:r>
      <w:r w:rsidR="001B7466" w:rsidRPr="00F53F54">
        <w:rPr>
          <w:rFonts w:ascii="Tahoma" w:hAnsi="Tahoma" w:cs="Tahoma"/>
        </w:rPr>
        <w:t xml:space="preserve"> </w:t>
      </w:r>
      <w:r w:rsidR="005A74E4" w:rsidRPr="00F53F54">
        <w:rPr>
          <w:rFonts w:ascii="Tahoma" w:hAnsi="Tahoma" w:cs="Tahoma"/>
        </w:rPr>
        <w:t>92.1 based on the U.S. a</w:t>
      </w:r>
      <w:r w:rsidR="005A74E4" w:rsidRPr="00F53F54">
        <w:rPr>
          <w:rFonts w:ascii="Tahoma" w:hAnsi="Tahoma" w:cs="Tahoma"/>
        </w:rPr>
        <w:t>v</w:t>
      </w:r>
      <w:r w:rsidR="005A74E4" w:rsidRPr="00F53F54">
        <w:rPr>
          <w:rFonts w:ascii="Tahoma" w:hAnsi="Tahoma" w:cs="Tahoma"/>
        </w:rPr>
        <w:t>erage of 100</w:t>
      </w:r>
      <w:r w:rsidR="00B9785E">
        <w:rPr>
          <w:rFonts w:ascii="Tahoma" w:hAnsi="Tahoma" w:cs="Tahoma"/>
        </w:rPr>
        <w:t xml:space="preserve"> for all metro areas.</w:t>
      </w:r>
    </w:p>
    <w:p w:rsidR="009563A8" w:rsidRPr="00F53F54" w:rsidRDefault="009563A8" w:rsidP="00722661">
      <w:pPr>
        <w:tabs>
          <w:tab w:val="left" w:pos="0"/>
        </w:tabs>
        <w:spacing w:after="0"/>
        <w:jc w:val="both"/>
        <w:rPr>
          <w:rFonts w:ascii="Tahoma" w:hAnsi="Tahoma" w:cs="Tahoma"/>
        </w:rPr>
        <w:sectPr w:rsidR="009563A8" w:rsidRPr="00F53F54" w:rsidSect="009563A8">
          <w:type w:val="continuous"/>
          <w:pgSz w:w="12240" w:h="15840"/>
          <w:pgMar w:top="1440" w:right="1350" w:bottom="1440" w:left="2070" w:header="720" w:footer="720" w:gutter="0"/>
          <w:cols w:num="2" w:space="720"/>
          <w:docGrid w:linePitch="360"/>
        </w:sectPr>
      </w:pPr>
    </w:p>
    <w:p w:rsidR="005A74E4" w:rsidRPr="00F53F54" w:rsidRDefault="005A74E4" w:rsidP="00722661">
      <w:pPr>
        <w:tabs>
          <w:tab w:val="left" w:pos="0"/>
        </w:tabs>
        <w:spacing w:after="0"/>
        <w:jc w:val="both"/>
        <w:rPr>
          <w:rFonts w:ascii="Tahoma" w:hAnsi="Tahoma" w:cs="Tahoma"/>
        </w:rPr>
      </w:pPr>
    </w:p>
    <w:p w:rsidR="00490C1B" w:rsidRPr="00F53F54" w:rsidRDefault="00226474" w:rsidP="009563A8">
      <w:pPr>
        <w:tabs>
          <w:tab w:val="left" w:pos="0"/>
        </w:tabs>
        <w:spacing w:after="0" w:line="240" w:lineRule="auto"/>
      </w:pPr>
      <w:r w:rsidRPr="00F53F54">
        <w:rPr>
          <w:noProof/>
        </w:rPr>
        <w:drawing>
          <wp:inline distT="0" distB="0" distL="0" distR="0" wp14:anchorId="67CE7AF9" wp14:editId="77508DAD">
            <wp:extent cx="5563518" cy="2688116"/>
            <wp:effectExtent l="0" t="0" r="18415" b="1714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A74E4" w:rsidRDefault="005A74E4" w:rsidP="00097CFE">
      <w:pPr>
        <w:pBdr>
          <w:bottom w:val="single" w:sz="12" w:space="1" w:color="auto"/>
        </w:pBdr>
        <w:tabs>
          <w:tab w:val="left" w:pos="0"/>
        </w:tabs>
        <w:spacing w:after="120"/>
        <w:rPr>
          <w:rFonts w:ascii="Tahoma" w:hAnsi="Tahoma" w:cs="Tahoma"/>
          <w:sz w:val="18"/>
          <w:szCs w:val="18"/>
        </w:rPr>
      </w:pPr>
      <w:r w:rsidRPr="00F53F54">
        <w:rPr>
          <w:rFonts w:ascii="Tahoma" w:hAnsi="Tahoma" w:cs="Tahoma"/>
          <w:sz w:val="18"/>
          <w:szCs w:val="18"/>
        </w:rPr>
        <w:t>Source:  Baylor Center for Business &amp; Economic Research</w:t>
      </w:r>
    </w:p>
    <w:p w:rsidR="000B31D3" w:rsidRPr="000B31D3" w:rsidRDefault="000B31D3" w:rsidP="00097CFE">
      <w:pPr>
        <w:pBdr>
          <w:bottom w:val="single" w:sz="12" w:space="1" w:color="auto"/>
        </w:pBdr>
        <w:tabs>
          <w:tab w:val="left" w:pos="0"/>
        </w:tabs>
        <w:spacing w:after="120"/>
        <w:rPr>
          <w:rFonts w:ascii="Tahoma" w:hAnsi="Tahoma" w:cs="Tahoma"/>
          <w:sz w:val="16"/>
          <w:szCs w:val="16"/>
        </w:rPr>
      </w:pPr>
    </w:p>
    <w:p w:rsidR="009563A8" w:rsidRPr="00F53F54" w:rsidRDefault="001833F2" w:rsidP="00097CFE">
      <w:pPr>
        <w:tabs>
          <w:tab w:val="left" w:pos="0"/>
        </w:tabs>
        <w:spacing w:before="120" w:after="120"/>
        <w:rPr>
          <w:rFonts w:ascii="Tahoma" w:hAnsi="Tahoma" w:cs="Tahoma"/>
          <w:noProof/>
          <w:sz w:val="28"/>
          <w:szCs w:val="28"/>
        </w:rPr>
        <w:sectPr w:rsidR="009563A8" w:rsidRPr="00F53F54" w:rsidSect="003E33D6">
          <w:type w:val="continuous"/>
          <w:pgSz w:w="12240" w:h="15840"/>
          <w:pgMar w:top="1440" w:right="1350" w:bottom="1440" w:left="2070" w:header="720" w:footer="720" w:gutter="0"/>
          <w:cols w:space="720"/>
          <w:docGrid w:linePitch="360"/>
        </w:sectPr>
      </w:pPr>
      <w:r w:rsidRPr="00F53F54">
        <w:rPr>
          <w:rFonts w:ascii="Tahoma" w:hAnsi="Tahoma" w:cs="Tahoma"/>
          <w:noProof/>
          <w:sz w:val="28"/>
          <w:szCs w:val="28"/>
        </w:rPr>
        <w:t>W</w:t>
      </w:r>
      <w:r w:rsidR="00097CFE" w:rsidRPr="00F53F54">
        <w:rPr>
          <w:rFonts w:ascii="Tahoma" w:hAnsi="Tahoma" w:cs="Tahoma"/>
          <w:noProof/>
          <w:sz w:val="28"/>
          <w:szCs w:val="28"/>
        </w:rPr>
        <w:t xml:space="preserve">aco </w:t>
      </w:r>
      <w:r w:rsidRPr="00F53F54">
        <w:rPr>
          <w:rFonts w:ascii="Tahoma" w:hAnsi="Tahoma" w:cs="Tahoma"/>
          <w:noProof/>
          <w:sz w:val="28"/>
          <w:szCs w:val="28"/>
        </w:rPr>
        <w:t xml:space="preserve">MSA </w:t>
      </w:r>
      <w:r w:rsidR="00097CFE" w:rsidRPr="00F53F54">
        <w:rPr>
          <w:rFonts w:ascii="Tahoma" w:hAnsi="Tahoma" w:cs="Tahoma"/>
          <w:noProof/>
          <w:sz w:val="28"/>
          <w:szCs w:val="28"/>
        </w:rPr>
        <w:t xml:space="preserve">Industry </w:t>
      </w:r>
      <w:r w:rsidR="00B25601">
        <w:rPr>
          <w:rFonts w:ascii="Tahoma" w:hAnsi="Tahoma" w:cs="Tahoma"/>
          <w:noProof/>
          <w:sz w:val="28"/>
          <w:szCs w:val="28"/>
        </w:rPr>
        <w:t>Performance</w:t>
      </w:r>
    </w:p>
    <w:p w:rsidR="003553AD" w:rsidRDefault="009563A8" w:rsidP="00356047">
      <w:pPr>
        <w:tabs>
          <w:tab w:val="left" w:pos="0"/>
          <w:tab w:val="left" w:pos="540"/>
        </w:tabs>
        <w:spacing w:after="120"/>
        <w:jc w:val="both"/>
        <w:rPr>
          <w:rFonts w:ascii="Tahoma" w:hAnsi="Tahoma" w:cs="Tahoma"/>
        </w:rPr>
      </w:pPr>
      <w:r w:rsidRPr="00F53F54">
        <w:rPr>
          <w:rFonts w:ascii="Tahoma" w:hAnsi="Tahoma" w:cs="Tahoma"/>
          <w:noProof/>
        </w:rPr>
        <w:lastRenderedPageBreak/>
        <w:tab/>
      </w:r>
      <w:r w:rsidR="00ED711B" w:rsidRPr="00F53F54">
        <w:rPr>
          <w:rFonts w:ascii="Tahoma" w:hAnsi="Tahoma" w:cs="Tahoma"/>
          <w:noProof/>
        </w:rPr>
        <w:t xml:space="preserve">In addition to </w:t>
      </w:r>
      <w:r w:rsidR="0038682A">
        <w:rPr>
          <w:rFonts w:ascii="Tahoma" w:hAnsi="Tahoma" w:cs="Tahoma"/>
          <w:noProof/>
        </w:rPr>
        <w:t>a</w:t>
      </w:r>
      <w:r w:rsidR="00ED711B" w:rsidRPr="00F53F54">
        <w:rPr>
          <w:rFonts w:ascii="Tahoma" w:hAnsi="Tahoma" w:cs="Tahoma"/>
          <w:noProof/>
        </w:rPr>
        <w:t xml:space="preserve"> </w:t>
      </w:r>
      <w:r w:rsidR="00677A45">
        <w:rPr>
          <w:rFonts w:ascii="Tahoma" w:hAnsi="Tahoma" w:cs="Tahoma"/>
          <w:noProof/>
        </w:rPr>
        <w:t xml:space="preserve">monthly </w:t>
      </w:r>
      <w:r w:rsidR="00ED711B" w:rsidRPr="00F53F54">
        <w:rPr>
          <w:rFonts w:ascii="Tahoma" w:hAnsi="Tahoma" w:cs="Tahoma"/>
          <w:noProof/>
        </w:rPr>
        <w:t>survey of household</w:t>
      </w:r>
      <w:r w:rsidR="001833F2" w:rsidRPr="00F53F54">
        <w:rPr>
          <w:rFonts w:ascii="Tahoma" w:hAnsi="Tahoma" w:cs="Tahoma"/>
          <w:noProof/>
        </w:rPr>
        <w:t>s</w:t>
      </w:r>
      <w:r w:rsidR="00ED711B" w:rsidRPr="00F53F54">
        <w:rPr>
          <w:rFonts w:ascii="Tahoma" w:hAnsi="Tahoma" w:cs="Tahoma"/>
          <w:noProof/>
        </w:rPr>
        <w:t xml:space="preserve"> the BLS also gathers </w:t>
      </w:r>
      <w:r w:rsidR="00DC5F6D">
        <w:rPr>
          <w:rFonts w:ascii="Tahoma" w:hAnsi="Tahoma" w:cs="Tahoma"/>
          <w:noProof/>
        </w:rPr>
        <w:t xml:space="preserve">industry </w:t>
      </w:r>
      <w:r w:rsidR="00797C60" w:rsidRPr="00F53F54">
        <w:rPr>
          <w:rFonts w:ascii="Tahoma" w:hAnsi="Tahoma" w:cs="Tahoma"/>
          <w:noProof/>
        </w:rPr>
        <w:t xml:space="preserve"> </w:t>
      </w:r>
      <w:r w:rsidR="001833F2" w:rsidRPr="00F53F54">
        <w:rPr>
          <w:rFonts w:ascii="Tahoma" w:hAnsi="Tahoma" w:cs="Tahoma"/>
          <w:noProof/>
        </w:rPr>
        <w:t xml:space="preserve">employment </w:t>
      </w:r>
      <w:r w:rsidR="00ED711B" w:rsidRPr="00F53F54">
        <w:rPr>
          <w:rFonts w:ascii="Tahoma" w:hAnsi="Tahoma" w:cs="Tahoma"/>
          <w:noProof/>
        </w:rPr>
        <w:t xml:space="preserve">data from a </w:t>
      </w:r>
      <w:r w:rsidR="00797C60" w:rsidRPr="00F53F54">
        <w:rPr>
          <w:rFonts w:ascii="Tahoma" w:hAnsi="Tahoma" w:cs="Tahoma"/>
          <w:noProof/>
        </w:rPr>
        <w:t>surv</w:t>
      </w:r>
      <w:r w:rsidR="00DC5F6D">
        <w:rPr>
          <w:rFonts w:ascii="Tahoma" w:hAnsi="Tahoma" w:cs="Tahoma"/>
          <w:noProof/>
        </w:rPr>
        <w:t>e</w:t>
      </w:r>
      <w:r w:rsidR="00797C60" w:rsidRPr="00F53F54">
        <w:rPr>
          <w:rFonts w:ascii="Tahoma" w:hAnsi="Tahoma" w:cs="Tahoma"/>
          <w:noProof/>
        </w:rPr>
        <w:t xml:space="preserve">y of </w:t>
      </w:r>
      <w:r w:rsidR="00677A45">
        <w:rPr>
          <w:rFonts w:ascii="Tahoma" w:hAnsi="Tahoma" w:cs="Tahoma"/>
          <w:noProof/>
        </w:rPr>
        <w:t xml:space="preserve">nonfarm </w:t>
      </w:r>
      <w:r w:rsidR="00797C60" w:rsidRPr="00F53F54">
        <w:rPr>
          <w:rFonts w:ascii="Tahoma" w:hAnsi="Tahoma" w:cs="Tahoma"/>
          <w:noProof/>
        </w:rPr>
        <w:t>establishments</w:t>
      </w:r>
      <w:r w:rsidR="00097CFE" w:rsidRPr="00F53F54">
        <w:rPr>
          <w:rFonts w:ascii="Tahoma" w:hAnsi="Tahoma" w:cs="Tahoma"/>
          <w:noProof/>
        </w:rPr>
        <w:t xml:space="preserve">. </w:t>
      </w:r>
      <w:r w:rsidR="00797C60" w:rsidRPr="00F53F54">
        <w:rPr>
          <w:rFonts w:ascii="Tahoma" w:hAnsi="Tahoma" w:cs="Tahoma"/>
          <w:noProof/>
        </w:rPr>
        <w:t xml:space="preserve"> </w:t>
      </w:r>
      <w:r w:rsidR="00097CFE" w:rsidRPr="00F53F54">
        <w:rPr>
          <w:rFonts w:ascii="Tahoma" w:hAnsi="Tahoma" w:cs="Tahoma"/>
        </w:rPr>
        <w:t xml:space="preserve">Figure </w:t>
      </w:r>
      <w:r w:rsidR="008D3CC5" w:rsidRPr="00F53F54">
        <w:rPr>
          <w:rFonts w:ascii="Tahoma" w:hAnsi="Tahoma" w:cs="Tahoma"/>
        </w:rPr>
        <w:t>3</w:t>
      </w:r>
      <w:r w:rsidR="00097CFE" w:rsidRPr="00F53F54">
        <w:rPr>
          <w:rFonts w:ascii="Tahoma" w:hAnsi="Tahoma" w:cs="Tahoma"/>
        </w:rPr>
        <w:t xml:space="preserve"> shows the total number of monthly employees in nonfarm establishments in the Waco economy since the beginning of 2013.  In February 2015 the number of nonagricu</w:t>
      </w:r>
      <w:r w:rsidR="00097CFE" w:rsidRPr="00F53F54">
        <w:rPr>
          <w:rFonts w:ascii="Tahoma" w:hAnsi="Tahoma" w:cs="Tahoma"/>
        </w:rPr>
        <w:t>l</w:t>
      </w:r>
      <w:r w:rsidR="00097CFE" w:rsidRPr="00F53F54">
        <w:rPr>
          <w:rFonts w:ascii="Tahoma" w:hAnsi="Tahoma" w:cs="Tahoma"/>
        </w:rPr>
        <w:t xml:space="preserve">tural workers reached a record high of </w:t>
      </w:r>
      <w:r w:rsidR="00097CFE" w:rsidRPr="00F53F54">
        <w:rPr>
          <w:rFonts w:ascii="Tahoma" w:hAnsi="Tahoma" w:cs="Tahoma"/>
        </w:rPr>
        <w:lastRenderedPageBreak/>
        <w:t>113.1 thousand that is 2.9% higher than the same month in the previous year.  This is the fastest annual rate of increase for any month since the beginning of 2000.  Although the rate of increase cooled off in March, positive growth o</w:t>
      </w:r>
      <w:r w:rsidR="00097CFE" w:rsidRPr="00F53F54">
        <w:rPr>
          <w:rFonts w:ascii="Tahoma" w:hAnsi="Tahoma" w:cs="Tahoma"/>
        </w:rPr>
        <w:t>c</w:t>
      </w:r>
      <w:r w:rsidR="00097CFE" w:rsidRPr="00F53F54">
        <w:rPr>
          <w:rFonts w:ascii="Tahoma" w:hAnsi="Tahoma" w:cs="Tahoma"/>
        </w:rPr>
        <w:t xml:space="preserve">curred in </w:t>
      </w:r>
      <w:r w:rsidR="00DC5F6D">
        <w:rPr>
          <w:rFonts w:ascii="Tahoma" w:hAnsi="Tahoma" w:cs="Tahoma"/>
        </w:rPr>
        <w:t>seven</w:t>
      </w:r>
      <w:r w:rsidR="00097CFE" w:rsidRPr="00F53F54">
        <w:rPr>
          <w:rFonts w:ascii="Tahoma" w:hAnsi="Tahoma" w:cs="Tahoma"/>
        </w:rPr>
        <w:t xml:space="preserve"> of the ten major industry categories.</w:t>
      </w:r>
    </w:p>
    <w:p w:rsidR="003553AD" w:rsidRDefault="003553AD" w:rsidP="00226474">
      <w:pPr>
        <w:tabs>
          <w:tab w:val="left" w:pos="0"/>
        </w:tabs>
        <w:spacing w:after="120"/>
        <w:jc w:val="both"/>
        <w:rPr>
          <w:rFonts w:ascii="Tahoma" w:hAnsi="Tahoma" w:cs="Tahoma"/>
        </w:rPr>
        <w:sectPr w:rsidR="003553AD" w:rsidSect="003553AD">
          <w:type w:val="continuous"/>
          <w:pgSz w:w="12240" w:h="15840"/>
          <w:pgMar w:top="1440" w:right="1350" w:bottom="1440" w:left="2070" w:header="720" w:footer="720" w:gutter="0"/>
          <w:cols w:num="2" w:space="720"/>
          <w:docGrid w:linePitch="360"/>
        </w:sectPr>
      </w:pPr>
    </w:p>
    <w:p w:rsidR="00097CFE" w:rsidRDefault="00EB500F" w:rsidP="00097CFE">
      <w:pPr>
        <w:tabs>
          <w:tab w:val="left" w:pos="0"/>
        </w:tabs>
        <w:spacing w:after="0"/>
        <w:jc w:val="both"/>
        <w:rPr>
          <w:sz w:val="24"/>
          <w:szCs w:val="24"/>
        </w:rPr>
      </w:pPr>
      <w:r>
        <w:rPr>
          <w:noProof/>
        </w:rPr>
        <w:lastRenderedPageBreak/>
        <w:drawing>
          <wp:inline distT="0" distB="0" distL="0" distR="0" wp14:anchorId="509C58B6" wp14:editId="4D4BA159">
            <wp:extent cx="5541485" cy="2743200"/>
            <wp:effectExtent l="0" t="0" r="2159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3CC5" w:rsidRPr="008D3CC5" w:rsidRDefault="00097CFE" w:rsidP="00097CFE">
      <w:pPr>
        <w:tabs>
          <w:tab w:val="left" w:pos="0"/>
        </w:tabs>
        <w:spacing w:after="0" w:line="240" w:lineRule="auto"/>
        <w:rPr>
          <w:rFonts w:ascii="Tahoma" w:hAnsi="Tahoma" w:cs="Tahoma"/>
          <w:noProof/>
          <w:sz w:val="18"/>
          <w:szCs w:val="18"/>
        </w:rPr>
        <w:sectPr w:rsidR="008D3CC5" w:rsidRPr="008D3CC5" w:rsidSect="003E33D6">
          <w:type w:val="continuous"/>
          <w:pgSz w:w="12240" w:h="15840"/>
          <w:pgMar w:top="1440" w:right="1350" w:bottom="1440" w:left="2070" w:header="720" w:footer="720" w:gutter="0"/>
          <w:cols w:space="720"/>
          <w:docGrid w:linePitch="360"/>
        </w:sectPr>
      </w:pPr>
      <w:r w:rsidRPr="008D3CC5">
        <w:rPr>
          <w:rFonts w:ascii="Tahoma" w:hAnsi="Tahoma" w:cs="Tahoma"/>
          <w:noProof/>
          <w:sz w:val="18"/>
          <w:szCs w:val="18"/>
        </w:rPr>
        <w:t>Source:  U.S. Bureau of Labor Statistics</w:t>
      </w:r>
    </w:p>
    <w:p w:rsidR="008D3CC5" w:rsidRDefault="008D3CC5" w:rsidP="00097CFE">
      <w:pPr>
        <w:tabs>
          <w:tab w:val="left" w:pos="0"/>
        </w:tabs>
        <w:spacing w:after="0" w:line="240" w:lineRule="auto"/>
        <w:rPr>
          <w:noProof/>
          <w:sz w:val="18"/>
          <w:szCs w:val="18"/>
        </w:rPr>
        <w:sectPr w:rsidR="008D3CC5" w:rsidSect="003E33D6">
          <w:type w:val="continuous"/>
          <w:pgSz w:w="12240" w:h="15840"/>
          <w:pgMar w:top="1440" w:right="1350" w:bottom="1440" w:left="2070" w:header="720" w:footer="720" w:gutter="0"/>
          <w:cols w:space="720"/>
          <w:docGrid w:linePitch="360"/>
        </w:sectPr>
      </w:pPr>
    </w:p>
    <w:p w:rsidR="00847825" w:rsidRDefault="00097CFE" w:rsidP="00847825">
      <w:pPr>
        <w:tabs>
          <w:tab w:val="left" w:pos="0"/>
          <w:tab w:val="left" w:pos="540"/>
        </w:tabs>
        <w:spacing w:after="0"/>
        <w:jc w:val="both"/>
        <w:rPr>
          <w:rFonts w:ascii="Tahoma" w:hAnsi="Tahoma" w:cs="Tahoma"/>
        </w:rPr>
      </w:pPr>
      <w:r w:rsidRPr="002236B9">
        <w:rPr>
          <w:noProof/>
          <w:sz w:val="24"/>
          <w:szCs w:val="24"/>
        </w:rPr>
        <mc:AlternateContent>
          <mc:Choice Requires="wps">
            <w:drawing>
              <wp:anchor distT="0" distB="0" distL="114300" distR="114300" simplePos="0" relativeHeight="251665408" behindDoc="0" locked="0" layoutInCell="1" allowOverlap="1" wp14:anchorId="1CE1EA73" wp14:editId="21EC0303">
                <wp:simplePos x="0" y="0"/>
                <wp:positionH relativeFrom="margin">
                  <wp:posOffset>1781175</wp:posOffset>
                </wp:positionH>
                <wp:positionV relativeFrom="margin">
                  <wp:posOffset>3977005</wp:posOffset>
                </wp:positionV>
                <wp:extent cx="3997960" cy="4142105"/>
                <wp:effectExtent l="0" t="0" r="254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4142105"/>
                        </a:xfrm>
                        <a:prstGeom prst="rect">
                          <a:avLst/>
                        </a:prstGeom>
                        <a:solidFill>
                          <a:srgbClr val="FFFFFF"/>
                        </a:solidFill>
                        <a:ln w="9525">
                          <a:noFill/>
                          <a:miter lim="800000"/>
                          <a:headEnd/>
                          <a:tailEnd/>
                        </a:ln>
                      </wps:spPr>
                      <wps:txbx>
                        <w:txbxContent>
                          <w:p w:rsidR="00D837DA" w:rsidRPr="00EB500F" w:rsidRDefault="00D837DA" w:rsidP="00097CFE">
                            <w:pPr>
                              <w:spacing w:after="0" w:line="240" w:lineRule="auto"/>
                              <w:jc w:val="center"/>
                              <w:rPr>
                                <w:rFonts w:ascii="Tahoma" w:hAnsi="Tahoma" w:cs="Tahoma"/>
                              </w:rPr>
                            </w:pPr>
                            <w:r w:rsidRPr="00EB500F">
                              <w:rPr>
                                <w:rFonts w:ascii="Tahoma" w:hAnsi="Tahoma" w:cs="Tahoma"/>
                              </w:rPr>
                              <w:t>Table 3</w:t>
                            </w:r>
                          </w:p>
                          <w:p w:rsidR="00D837DA" w:rsidRDefault="00D837DA" w:rsidP="00097CFE">
                            <w:pPr>
                              <w:spacing w:after="0" w:line="240" w:lineRule="auto"/>
                              <w:jc w:val="center"/>
                              <w:rPr>
                                <w:rFonts w:ascii="Tahoma" w:hAnsi="Tahoma" w:cs="Tahoma"/>
                              </w:rPr>
                            </w:pPr>
                            <w:r>
                              <w:rPr>
                                <w:rFonts w:ascii="Tahoma" w:hAnsi="Tahoma" w:cs="Tahoma"/>
                              </w:rPr>
                              <w:t>Waco MSA June Total</w:t>
                            </w:r>
                            <w:r w:rsidRPr="00EB500F">
                              <w:rPr>
                                <w:rFonts w:ascii="Tahoma" w:hAnsi="Tahoma" w:cs="Tahoma"/>
                              </w:rPr>
                              <w:t xml:space="preserve"> and </w:t>
                            </w:r>
                            <w:r>
                              <w:rPr>
                                <w:rFonts w:ascii="Tahoma" w:hAnsi="Tahoma" w:cs="Tahoma"/>
                              </w:rPr>
                              <w:t xml:space="preserve">Average </w:t>
                            </w:r>
                            <w:r w:rsidRPr="00EB500F">
                              <w:rPr>
                                <w:rFonts w:ascii="Tahoma" w:hAnsi="Tahoma" w:cs="Tahoma"/>
                              </w:rPr>
                              <w:t xml:space="preserve">Annual Rate of </w:t>
                            </w:r>
                          </w:p>
                          <w:p w:rsidR="00D837DA" w:rsidRPr="00EB500F" w:rsidRDefault="00D837DA" w:rsidP="00097CFE">
                            <w:pPr>
                              <w:spacing w:after="0" w:line="240" w:lineRule="auto"/>
                              <w:jc w:val="center"/>
                              <w:rPr>
                                <w:rFonts w:ascii="Tahoma" w:hAnsi="Tahoma" w:cs="Tahoma"/>
                              </w:rPr>
                            </w:pPr>
                            <w:r w:rsidRPr="00EB500F">
                              <w:rPr>
                                <w:rFonts w:ascii="Tahoma" w:hAnsi="Tahoma" w:cs="Tahoma"/>
                              </w:rPr>
                              <w:t xml:space="preserve">Growth in </w:t>
                            </w:r>
                            <w:r>
                              <w:rPr>
                                <w:rFonts w:ascii="Tahoma" w:hAnsi="Tahoma" w:cs="Tahoma"/>
                              </w:rPr>
                              <w:t xml:space="preserve">Monthly Industry </w:t>
                            </w:r>
                            <w:r w:rsidRPr="00EB500F">
                              <w:rPr>
                                <w:rFonts w:ascii="Tahoma" w:hAnsi="Tahoma" w:cs="Tahoma"/>
                              </w:rPr>
                              <w:t>Sector Employment</w:t>
                            </w:r>
                          </w:p>
                          <w:p w:rsidR="00D837DA" w:rsidRPr="00EB500F" w:rsidRDefault="00D837DA" w:rsidP="00097CFE">
                            <w:pPr>
                              <w:spacing w:after="0" w:line="240" w:lineRule="auto"/>
                              <w:jc w:val="center"/>
                              <w:rPr>
                                <w:rFonts w:ascii="Tahoma" w:hAnsi="Tahoma" w:cs="Tahoma"/>
                              </w:rPr>
                            </w:pPr>
                            <w:r w:rsidRPr="00EB500F">
                              <w:rPr>
                                <w:rFonts w:ascii="Tahoma" w:hAnsi="Tahoma" w:cs="Tahoma"/>
                              </w:rPr>
                              <w:t xml:space="preserve"> January 2015 - </w:t>
                            </w:r>
                            <w:r>
                              <w:rPr>
                                <w:rFonts w:ascii="Tahoma" w:hAnsi="Tahoma" w:cs="Tahoma"/>
                              </w:rPr>
                              <w:t>June</w:t>
                            </w:r>
                            <w:r w:rsidRPr="00EB500F">
                              <w:rPr>
                                <w:rFonts w:ascii="Tahoma" w:hAnsi="Tahoma" w:cs="Tahoma"/>
                              </w:rPr>
                              <w:t xml:space="preserve"> 2015</w:t>
                            </w:r>
                          </w:p>
                          <w:p w:rsidR="00D837DA" w:rsidRPr="00EB500F" w:rsidRDefault="00D837DA" w:rsidP="00097CFE">
                            <w:pPr>
                              <w:spacing w:after="0"/>
                              <w:jc w:val="center"/>
                              <w:rPr>
                                <w:rFonts w:ascii="Tahoma" w:hAnsi="Tahoma" w:cs="Tahoma"/>
                              </w:rPr>
                            </w:pPr>
                          </w:p>
                          <w:tbl>
                            <w:tblPr>
                              <w:tblW w:w="6120" w:type="dxa"/>
                              <w:tblInd w:w="18" w:type="dxa"/>
                              <w:tblLook w:val="04A0" w:firstRow="1" w:lastRow="0" w:firstColumn="1" w:lastColumn="0" w:noHBand="0" w:noVBand="1"/>
                            </w:tblPr>
                            <w:tblGrid>
                              <w:gridCol w:w="3060"/>
                              <w:gridCol w:w="1620"/>
                              <w:gridCol w:w="1440"/>
                            </w:tblGrid>
                            <w:tr w:rsidR="00D837DA" w:rsidRPr="00EB500F" w:rsidTr="00FE0FA4">
                              <w:trPr>
                                <w:trHeight w:val="323"/>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D837DA" w:rsidRPr="00EB500F" w:rsidRDefault="00D837DA" w:rsidP="00EF1BAC">
                                  <w:pPr>
                                    <w:spacing w:before="240" w:after="0" w:line="240" w:lineRule="auto"/>
                                    <w:ind w:left="-108"/>
                                    <w:jc w:val="center"/>
                                    <w:rPr>
                                      <w:rFonts w:ascii="Tahoma" w:eastAsia="Times New Roman" w:hAnsi="Tahoma" w:cs="Tahoma"/>
                                      <w:color w:val="000000"/>
                                    </w:rPr>
                                  </w:pPr>
                                  <w:r w:rsidRPr="00EB500F">
                                    <w:rPr>
                                      <w:rFonts w:ascii="Tahoma" w:eastAsia="Times New Roman" w:hAnsi="Tahoma" w:cs="Tahoma"/>
                                      <w:color w:val="000000"/>
                                    </w:rPr>
                                    <w:t>Industry</w:t>
                                  </w:r>
                                </w:p>
                                <w:p w:rsidR="00D837DA" w:rsidRPr="00EB500F" w:rsidRDefault="00D837DA" w:rsidP="002236B9">
                                  <w:pPr>
                                    <w:spacing w:after="0" w:line="240" w:lineRule="auto"/>
                                    <w:jc w:val="center"/>
                                    <w:rPr>
                                      <w:rFonts w:ascii="Tahoma" w:eastAsia="Times New Roman" w:hAnsi="Tahoma" w:cs="Tahoma"/>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7DA" w:rsidRPr="00EB500F" w:rsidRDefault="00D837DA" w:rsidP="002236B9">
                                  <w:pPr>
                                    <w:spacing w:after="0" w:line="240" w:lineRule="auto"/>
                                    <w:jc w:val="center"/>
                                    <w:rPr>
                                      <w:rFonts w:ascii="Tahoma" w:eastAsia="Times New Roman" w:hAnsi="Tahoma" w:cs="Tahoma"/>
                                      <w:color w:val="000000"/>
                                    </w:rPr>
                                  </w:pPr>
                                  <w:r>
                                    <w:rPr>
                                      <w:rFonts w:ascii="Tahoma" w:eastAsia="Times New Roman" w:hAnsi="Tahoma" w:cs="Tahoma"/>
                                      <w:color w:val="000000"/>
                                    </w:rPr>
                                    <w:t xml:space="preserve">June 2015 </w:t>
                                  </w:r>
                                  <w:r w:rsidRPr="00EB500F">
                                    <w:rPr>
                                      <w:rFonts w:ascii="Tahoma" w:eastAsia="Times New Roman" w:hAnsi="Tahoma" w:cs="Tahoma"/>
                                      <w:color w:val="000000"/>
                                    </w:rPr>
                                    <w:t>Employment</w:t>
                                  </w:r>
                                </w:p>
                                <w:p w:rsidR="00D837DA" w:rsidRPr="00EB500F" w:rsidRDefault="00D837DA" w:rsidP="002236B9">
                                  <w:pPr>
                                    <w:spacing w:after="0" w:line="240" w:lineRule="auto"/>
                                    <w:jc w:val="center"/>
                                    <w:rPr>
                                      <w:rFonts w:ascii="Tahoma" w:eastAsia="Times New Roman" w:hAnsi="Tahoma" w:cs="Tahoma"/>
                                      <w:color w:val="000000"/>
                                    </w:rPr>
                                  </w:pPr>
                                  <w:r w:rsidRPr="00EB500F">
                                    <w:rPr>
                                      <w:rFonts w:ascii="Tahoma" w:eastAsia="Times New Roman" w:hAnsi="Tahoma" w:cs="Tahoma"/>
                                      <w:color w:val="000000"/>
                                    </w:rPr>
                                    <w:t>(thousands)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837DA" w:rsidRPr="00EB500F" w:rsidRDefault="00D837DA" w:rsidP="00FE0FA4">
                                  <w:pPr>
                                    <w:pStyle w:val="ListParagraph"/>
                                    <w:spacing w:after="0" w:line="240" w:lineRule="auto"/>
                                    <w:ind w:left="-20"/>
                                    <w:jc w:val="center"/>
                                    <w:rPr>
                                      <w:rFonts w:ascii="Tahoma" w:eastAsia="Times New Roman" w:hAnsi="Tahoma" w:cs="Tahoma"/>
                                      <w:color w:val="000000"/>
                                    </w:rPr>
                                  </w:pPr>
                                  <w:r>
                                    <w:rPr>
                                      <w:rFonts w:ascii="Tahoma" w:eastAsia="Times New Roman" w:hAnsi="Tahoma" w:cs="Tahoma"/>
                                      <w:color w:val="000000"/>
                                    </w:rPr>
                                    <w:t>Average A</w:t>
                                  </w:r>
                                  <w:r>
                                    <w:rPr>
                                      <w:rFonts w:ascii="Tahoma" w:eastAsia="Times New Roman" w:hAnsi="Tahoma" w:cs="Tahoma"/>
                                      <w:color w:val="000000"/>
                                    </w:rPr>
                                    <w:t>n</w:t>
                                  </w:r>
                                  <w:r>
                                    <w:rPr>
                                      <w:rFonts w:ascii="Tahoma" w:eastAsia="Times New Roman" w:hAnsi="Tahoma" w:cs="Tahoma"/>
                                      <w:color w:val="000000"/>
                                    </w:rPr>
                                    <w:t xml:space="preserve">nual Growth Rate </w:t>
                                  </w:r>
                                </w:p>
                              </w:tc>
                            </w:tr>
                            <w:tr w:rsidR="00D837DA" w:rsidRPr="00EB500F" w:rsidTr="00FE0FA4">
                              <w:trPr>
                                <w:trHeight w:val="466"/>
                              </w:trPr>
                              <w:tc>
                                <w:tcPr>
                                  <w:tcW w:w="3060" w:type="dxa"/>
                                  <w:tcBorders>
                                    <w:top w:val="nil"/>
                                    <w:left w:val="single" w:sz="4" w:space="0" w:color="auto"/>
                                    <w:bottom w:val="nil"/>
                                    <w:right w:val="nil"/>
                                  </w:tcBorders>
                                  <w:shd w:val="clear" w:color="000000" w:fill="FFFFFF"/>
                                  <w:vAlign w:val="bottom"/>
                                  <w:hideMark/>
                                </w:tcPr>
                                <w:p w:rsidR="00D837DA" w:rsidRPr="00EB500F" w:rsidRDefault="00D837DA" w:rsidP="00FE0FA4">
                                  <w:pPr>
                                    <w:spacing w:after="0" w:line="300" w:lineRule="auto"/>
                                    <w:ind w:firstLine="252"/>
                                    <w:rPr>
                                      <w:rFonts w:ascii="Tahoma" w:eastAsia="Times New Roman" w:hAnsi="Tahoma" w:cs="Tahoma"/>
                                    </w:rPr>
                                  </w:pPr>
                                  <w:r w:rsidRPr="00EB500F">
                                    <w:rPr>
                                      <w:rFonts w:ascii="Tahoma" w:eastAsia="Times New Roman" w:hAnsi="Tahoma" w:cs="Tahoma"/>
                                    </w:rPr>
                                    <w:t>Construction</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6.5</w:t>
                                  </w:r>
                                </w:p>
                              </w:tc>
                              <w:tc>
                                <w:tcPr>
                                  <w:tcW w:w="1440" w:type="dxa"/>
                                  <w:tcBorders>
                                    <w:top w:val="nil"/>
                                    <w:left w:val="nil"/>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4</w:t>
                                  </w:r>
                                  <w:r w:rsidRPr="00EB500F">
                                    <w:rPr>
                                      <w:rFonts w:ascii="Tahoma" w:eastAsia="Times New Roman" w:hAnsi="Tahoma" w:cs="Tahoma"/>
                                    </w:rPr>
                                    <w:t>.</w:t>
                                  </w:r>
                                  <w:r>
                                    <w:rPr>
                                      <w:rFonts w:ascii="Tahoma" w:eastAsia="Times New Roman" w:hAnsi="Tahoma" w:cs="Tahoma"/>
                                    </w:rPr>
                                    <w:t>5</w:t>
                                  </w:r>
                                </w:p>
                              </w:tc>
                            </w:tr>
                            <w:tr w:rsidR="00D837DA" w:rsidRPr="00EB500F" w:rsidTr="00FE0FA4">
                              <w:trPr>
                                <w:trHeight w:val="300"/>
                              </w:trPr>
                              <w:tc>
                                <w:tcPr>
                                  <w:tcW w:w="3060" w:type="dxa"/>
                                  <w:tcBorders>
                                    <w:top w:val="nil"/>
                                    <w:left w:val="single" w:sz="4" w:space="0" w:color="auto"/>
                                    <w:bottom w:val="nil"/>
                                    <w:right w:val="nil"/>
                                  </w:tcBorders>
                                  <w:shd w:val="clear" w:color="000000" w:fill="FFFFFF"/>
                                  <w:vAlign w:val="bottom"/>
                                  <w:hideMark/>
                                </w:tcPr>
                                <w:p w:rsidR="00D837DA" w:rsidRPr="00EB500F" w:rsidRDefault="00D837DA" w:rsidP="00FE0FA4">
                                  <w:pPr>
                                    <w:spacing w:after="0" w:line="300" w:lineRule="auto"/>
                                    <w:ind w:firstLine="252"/>
                                    <w:rPr>
                                      <w:rFonts w:ascii="Tahoma" w:eastAsia="Times New Roman" w:hAnsi="Tahoma" w:cs="Tahoma"/>
                                    </w:rPr>
                                  </w:pPr>
                                  <w:r w:rsidRPr="00EB500F">
                                    <w:rPr>
                                      <w:rFonts w:ascii="Tahoma" w:eastAsia="Times New Roman" w:hAnsi="Tahoma" w:cs="Tahoma"/>
                                    </w:rPr>
                                    <w:t>Manufacturing</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14.4</w:t>
                                  </w:r>
                                </w:p>
                              </w:tc>
                              <w:tc>
                                <w:tcPr>
                                  <w:tcW w:w="1440" w:type="dxa"/>
                                  <w:tcBorders>
                                    <w:top w:val="nil"/>
                                    <w:left w:val="nil"/>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-1.4</w:t>
                                  </w:r>
                                </w:p>
                              </w:tc>
                            </w:tr>
                            <w:tr w:rsidR="00D837DA" w:rsidRPr="00EB500F" w:rsidTr="00FE0FA4">
                              <w:trPr>
                                <w:trHeight w:val="300"/>
                              </w:trPr>
                              <w:tc>
                                <w:tcPr>
                                  <w:tcW w:w="3060" w:type="dxa"/>
                                  <w:tcBorders>
                                    <w:top w:val="nil"/>
                                    <w:left w:val="single" w:sz="4" w:space="0" w:color="auto"/>
                                    <w:bottom w:val="nil"/>
                                    <w:right w:val="nil"/>
                                  </w:tcBorders>
                                  <w:shd w:val="clear" w:color="000000" w:fill="FFFFFF"/>
                                  <w:vAlign w:val="bottom"/>
                                  <w:hideMark/>
                                </w:tcPr>
                                <w:p w:rsidR="00D837DA" w:rsidRPr="00EB500F" w:rsidRDefault="00D837DA" w:rsidP="00FE0FA4">
                                  <w:pPr>
                                    <w:spacing w:after="0" w:line="300" w:lineRule="auto"/>
                                    <w:ind w:firstLine="252"/>
                                    <w:rPr>
                                      <w:rFonts w:ascii="Tahoma" w:eastAsia="Times New Roman" w:hAnsi="Tahoma" w:cs="Tahoma"/>
                                    </w:rPr>
                                  </w:pPr>
                                  <w:r w:rsidRPr="00EB500F">
                                    <w:rPr>
                                      <w:rFonts w:ascii="Tahoma" w:eastAsia="Times New Roman" w:hAnsi="Tahoma" w:cs="Tahoma"/>
                                    </w:rPr>
                                    <w:t>Trade, Trans., Utilities</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19.3</w:t>
                                  </w:r>
                                </w:p>
                              </w:tc>
                              <w:tc>
                                <w:tcPr>
                                  <w:tcW w:w="1440" w:type="dxa"/>
                                  <w:tcBorders>
                                    <w:top w:val="nil"/>
                                    <w:left w:val="nil"/>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0.3</w:t>
                                  </w:r>
                                </w:p>
                              </w:tc>
                            </w:tr>
                            <w:tr w:rsidR="00D837DA" w:rsidRPr="00EB500F" w:rsidTr="00FE0FA4">
                              <w:trPr>
                                <w:trHeight w:val="300"/>
                              </w:trPr>
                              <w:tc>
                                <w:tcPr>
                                  <w:tcW w:w="3060" w:type="dxa"/>
                                  <w:tcBorders>
                                    <w:top w:val="nil"/>
                                    <w:left w:val="single" w:sz="4" w:space="0" w:color="auto"/>
                                    <w:bottom w:val="nil"/>
                                    <w:right w:val="nil"/>
                                  </w:tcBorders>
                                  <w:shd w:val="clear" w:color="000000" w:fill="FFFFFF"/>
                                  <w:vAlign w:val="bottom"/>
                                  <w:hideMark/>
                                </w:tcPr>
                                <w:p w:rsidR="00D837DA" w:rsidRPr="00EB500F" w:rsidRDefault="00D837DA" w:rsidP="00FE0FA4">
                                  <w:pPr>
                                    <w:spacing w:after="0" w:line="300" w:lineRule="auto"/>
                                    <w:ind w:firstLine="252"/>
                                    <w:rPr>
                                      <w:rFonts w:ascii="Tahoma" w:eastAsia="Times New Roman" w:hAnsi="Tahoma" w:cs="Tahoma"/>
                                    </w:rPr>
                                  </w:pPr>
                                  <w:r w:rsidRPr="00EB500F">
                                    <w:rPr>
                                      <w:rFonts w:ascii="Tahoma" w:eastAsia="Times New Roman" w:hAnsi="Tahoma" w:cs="Tahoma"/>
                                    </w:rPr>
                                    <w:t>Information</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1.2</w:t>
                                  </w:r>
                                </w:p>
                              </w:tc>
                              <w:tc>
                                <w:tcPr>
                                  <w:tcW w:w="1440" w:type="dxa"/>
                                  <w:tcBorders>
                                    <w:top w:val="nil"/>
                                    <w:left w:val="nil"/>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sidRPr="00EB500F">
                                    <w:rPr>
                                      <w:rFonts w:ascii="Tahoma" w:eastAsia="Times New Roman" w:hAnsi="Tahoma" w:cs="Tahoma"/>
                                    </w:rPr>
                                    <w:t>-</w:t>
                                  </w:r>
                                  <w:r>
                                    <w:rPr>
                                      <w:rFonts w:ascii="Tahoma" w:eastAsia="Times New Roman" w:hAnsi="Tahoma" w:cs="Tahoma"/>
                                    </w:rPr>
                                    <w:t>9.9</w:t>
                                  </w:r>
                                </w:p>
                              </w:tc>
                            </w:tr>
                            <w:tr w:rsidR="00D837DA" w:rsidRPr="00EB500F" w:rsidTr="00FE0FA4">
                              <w:trPr>
                                <w:trHeight w:val="300"/>
                              </w:trPr>
                              <w:tc>
                                <w:tcPr>
                                  <w:tcW w:w="3060" w:type="dxa"/>
                                  <w:tcBorders>
                                    <w:top w:val="nil"/>
                                    <w:left w:val="single" w:sz="4" w:space="0" w:color="auto"/>
                                    <w:bottom w:val="nil"/>
                                    <w:right w:val="nil"/>
                                  </w:tcBorders>
                                  <w:shd w:val="clear" w:color="000000" w:fill="FFFFFF"/>
                                  <w:vAlign w:val="bottom"/>
                                  <w:hideMark/>
                                </w:tcPr>
                                <w:p w:rsidR="00D837DA" w:rsidRPr="00EB500F" w:rsidRDefault="00D837DA" w:rsidP="00FE0FA4">
                                  <w:pPr>
                                    <w:spacing w:after="0" w:line="300" w:lineRule="auto"/>
                                    <w:ind w:firstLine="252"/>
                                    <w:rPr>
                                      <w:rFonts w:ascii="Tahoma" w:eastAsia="Times New Roman" w:hAnsi="Tahoma" w:cs="Tahoma"/>
                                    </w:rPr>
                                  </w:pPr>
                                  <w:r w:rsidRPr="00EB500F">
                                    <w:rPr>
                                      <w:rFonts w:ascii="Tahoma" w:eastAsia="Times New Roman" w:hAnsi="Tahoma" w:cs="Tahoma"/>
                                    </w:rPr>
                                    <w:t>Financial Activities</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6.4</w:t>
                                  </w:r>
                                </w:p>
                              </w:tc>
                              <w:tc>
                                <w:tcPr>
                                  <w:tcW w:w="1440" w:type="dxa"/>
                                  <w:tcBorders>
                                    <w:top w:val="nil"/>
                                    <w:left w:val="nil"/>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3.6</w:t>
                                  </w:r>
                                </w:p>
                              </w:tc>
                            </w:tr>
                            <w:tr w:rsidR="00D837DA" w:rsidRPr="00EB500F" w:rsidTr="00FE0FA4">
                              <w:trPr>
                                <w:trHeight w:val="300"/>
                              </w:trPr>
                              <w:tc>
                                <w:tcPr>
                                  <w:tcW w:w="3060" w:type="dxa"/>
                                  <w:tcBorders>
                                    <w:top w:val="nil"/>
                                    <w:left w:val="single" w:sz="4" w:space="0" w:color="auto"/>
                                    <w:bottom w:val="nil"/>
                                    <w:right w:val="nil"/>
                                  </w:tcBorders>
                                  <w:shd w:val="clear" w:color="000000" w:fill="FFFFFF"/>
                                  <w:vAlign w:val="bottom"/>
                                  <w:hideMark/>
                                </w:tcPr>
                                <w:p w:rsidR="00D837DA" w:rsidRPr="00EB500F" w:rsidRDefault="00D837DA" w:rsidP="00FE0FA4">
                                  <w:pPr>
                                    <w:spacing w:after="0" w:line="300" w:lineRule="auto"/>
                                    <w:ind w:firstLine="252"/>
                                    <w:rPr>
                                      <w:rFonts w:ascii="Tahoma" w:eastAsia="Times New Roman" w:hAnsi="Tahoma" w:cs="Tahoma"/>
                                    </w:rPr>
                                  </w:pPr>
                                  <w:r w:rsidRPr="00EB500F">
                                    <w:rPr>
                                      <w:rFonts w:ascii="Tahoma" w:eastAsia="Times New Roman" w:hAnsi="Tahoma" w:cs="Tahoma"/>
                                    </w:rPr>
                                    <w:t>Prof. and Bus. Services</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sidRPr="00EB500F">
                                    <w:rPr>
                                      <w:rFonts w:ascii="Tahoma" w:eastAsia="Times New Roman" w:hAnsi="Tahoma" w:cs="Tahoma"/>
                                    </w:rPr>
                                    <w:t>11.</w:t>
                                  </w:r>
                                  <w:r>
                                    <w:rPr>
                                      <w:rFonts w:ascii="Tahoma" w:eastAsia="Times New Roman" w:hAnsi="Tahoma" w:cs="Tahoma"/>
                                    </w:rPr>
                                    <w:t>8</w:t>
                                  </w:r>
                                </w:p>
                              </w:tc>
                              <w:tc>
                                <w:tcPr>
                                  <w:tcW w:w="1440" w:type="dxa"/>
                                  <w:tcBorders>
                                    <w:top w:val="nil"/>
                                    <w:left w:val="nil"/>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sidRPr="00EB500F">
                                    <w:rPr>
                                      <w:rFonts w:ascii="Tahoma" w:eastAsia="Times New Roman" w:hAnsi="Tahoma" w:cs="Tahoma"/>
                                    </w:rPr>
                                    <w:t>1</w:t>
                                  </w:r>
                                  <w:r>
                                    <w:rPr>
                                      <w:rFonts w:ascii="Tahoma" w:eastAsia="Times New Roman" w:hAnsi="Tahoma" w:cs="Tahoma"/>
                                    </w:rPr>
                                    <w:t>2.1</w:t>
                                  </w:r>
                                </w:p>
                              </w:tc>
                            </w:tr>
                            <w:tr w:rsidR="00D837DA" w:rsidRPr="00EB500F" w:rsidTr="00FE0FA4">
                              <w:trPr>
                                <w:trHeight w:val="300"/>
                              </w:trPr>
                              <w:tc>
                                <w:tcPr>
                                  <w:tcW w:w="3060" w:type="dxa"/>
                                  <w:tcBorders>
                                    <w:top w:val="nil"/>
                                    <w:left w:val="single" w:sz="4" w:space="0" w:color="auto"/>
                                    <w:bottom w:val="nil"/>
                                    <w:right w:val="nil"/>
                                  </w:tcBorders>
                                  <w:shd w:val="clear" w:color="000000" w:fill="FFFFFF"/>
                                  <w:vAlign w:val="bottom"/>
                                  <w:hideMark/>
                                </w:tcPr>
                                <w:p w:rsidR="00D837DA" w:rsidRPr="00EB500F" w:rsidRDefault="00D837DA" w:rsidP="00FE0FA4">
                                  <w:pPr>
                                    <w:spacing w:after="0" w:line="300" w:lineRule="auto"/>
                                    <w:ind w:firstLine="252"/>
                                    <w:rPr>
                                      <w:rFonts w:ascii="Tahoma" w:eastAsia="Times New Roman" w:hAnsi="Tahoma" w:cs="Tahoma"/>
                                    </w:rPr>
                                  </w:pPr>
                                  <w:r w:rsidRPr="00EB500F">
                                    <w:rPr>
                                      <w:rFonts w:ascii="Tahoma" w:eastAsia="Times New Roman" w:hAnsi="Tahoma" w:cs="Tahoma"/>
                                    </w:rPr>
                                    <w:t>Education and Health</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sidRPr="00EB500F">
                                    <w:rPr>
                                      <w:rFonts w:ascii="Tahoma" w:eastAsia="Times New Roman" w:hAnsi="Tahoma" w:cs="Tahoma"/>
                                    </w:rPr>
                                    <w:t>18.</w:t>
                                  </w:r>
                                  <w:r>
                                    <w:rPr>
                                      <w:rFonts w:ascii="Tahoma" w:eastAsia="Times New Roman" w:hAnsi="Tahoma" w:cs="Tahoma"/>
                                    </w:rPr>
                                    <w:t>3</w:t>
                                  </w:r>
                                </w:p>
                              </w:tc>
                              <w:tc>
                                <w:tcPr>
                                  <w:tcW w:w="1440" w:type="dxa"/>
                                  <w:tcBorders>
                                    <w:top w:val="nil"/>
                                    <w:left w:val="nil"/>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sidRPr="00EB500F">
                                    <w:rPr>
                                      <w:rFonts w:ascii="Tahoma" w:eastAsia="Times New Roman" w:hAnsi="Tahoma" w:cs="Tahoma"/>
                                    </w:rPr>
                                    <w:t>0.</w:t>
                                  </w:r>
                                  <w:r>
                                    <w:rPr>
                                      <w:rFonts w:ascii="Tahoma" w:eastAsia="Times New Roman" w:hAnsi="Tahoma" w:cs="Tahoma"/>
                                    </w:rPr>
                                    <w:t>6</w:t>
                                  </w:r>
                                </w:p>
                              </w:tc>
                            </w:tr>
                            <w:tr w:rsidR="00D837DA" w:rsidRPr="00EB500F" w:rsidTr="00FE0FA4">
                              <w:trPr>
                                <w:trHeight w:val="300"/>
                              </w:trPr>
                              <w:tc>
                                <w:tcPr>
                                  <w:tcW w:w="3060" w:type="dxa"/>
                                  <w:tcBorders>
                                    <w:top w:val="nil"/>
                                    <w:left w:val="single" w:sz="4" w:space="0" w:color="auto"/>
                                    <w:bottom w:val="nil"/>
                                    <w:right w:val="nil"/>
                                  </w:tcBorders>
                                  <w:shd w:val="clear" w:color="000000" w:fill="FFFFFF"/>
                                  <w:vAlign w:val="bottom"/>
                                  <w:hideMark/>
                                </w:tcPr>
                                <w:p w:rsidR="00D837DA" w:rsidRPr="00EB500F" w:rsidRDefault="00D837DA" w:rsidP="00FE0FA4">
                                  <w:pPr>
                                    <w:spacing w:after="0" w:line="300" w:lineRule="auto"/>
                                    <w:ind w:firstLine="252"/>
                                    <w:rPr>
                                      <w:rFonts w:ascii="Tahoma" w:eastAsia="Times New Roman" w:hAnsi="Tahoma" w:cs="Tahoma"/>
                                    </w:rPr>
                                  </w:pPr>
                                  <w:r w:rsidRPr="00EB500F">
                                    <w:rPr>
                                      <w:rFonts w:ascii="Tahoma" w:eastAsia="Times New Roman" w:hAnsi="Tahoma" w:cs="Tahoma"/>
                                    </w:rPr>
                                    <w:t>Leisure and Hospitality</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12.1</w:t>
                                  </w:r>
                                </w:p>
                              </w:tc>
                              <w:tc>
                                <w:tcPr>
                                  <w:tcW w:w="1440" w:type="dxa"/>
                                  <w:tcBorders>
                                    <w:top w:val="nil"/>
                                    <w:left w:val="nil"/>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3.8</w:t>
                                  </w:r>
                                </w:p>
                              </w:tc>
                            </w:tr>
                            <w:tr w:rsidR="00D837DA" w:rsidRPr="00EB500F" w:rsidTr="00FE0FA4">
                              <w:trPr>
                                <w:trHeight w:val="300"/>
                              </w:trPr>
                              <w:tc>
                                <w:tcPr>
                                  <w:tcW w:w="3060" w:type="dxa"/>
                                  <w:tcBorders>
                                    <w:top w:val="nil"/>
                                    <w:left w:val="single" w:sz="4" w:space="0" w:color="auto"/>
                                    <w:bottom w:val="nil"/>
                                    <w:right w:val="nil"/>
                                  </w:tcBorders>
                                  <w:shd w:val="clear" w:color="000000" w:fill="FFFFFF"/>
                                  <w:vAlign w:val="bottom"/>
                                  <w:hideMark/>
                                </w:tcPr>
                                <w:p w:rsidR="00D837DA" w:rsidRPr="00EB500F" w:rsidRDefault="00D837DA" w:rsidP="00FE0FA4">
                                  <w:pPr>
                                    <w:spacing w:after="0" w:line="300" w:lineRule="auto"/>
                                    <w:ind w:firstLine="252"/>
                                    <w:rPr>
                                      <w:rFonts w:ascii="Tahoma" w:eastAsia="Times New Roman" w:hAnsi="Tahoma" w:cs="Tahoma"/>
                                    </w:rPr>
                                  </w:pPr>
                                  <w:r w:rsidRPr="00EB500F">
                                    <w:rPr>
                                      <w:rFonts w:ascii="Tahoma" w:eastAsia="Times New Roman" w:hAnsi="Tahoma" w:cs="Tahoma"/>
                                    </w:rPr>
                                    <w:t>Other Services</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sidRPr="00EB500F">
                                    <w:rPr>
                                      <w:rFonts w:ascii="Tahoma" w:eastAsia="Times New Roman" w:hAnsi="Tahoma" w:cs="Tahoma"/>
                                    </w:rPr>
                                    <w:t>4.</w:t>
                                  </w:r>
                                  <w:r>
                                    <w:rPr>
                                      <w:rFonts w:ascii="Tahoma" w:eastAsia="Times New Roman" w:hAnsi="Tahoma" w:cs="Tahoma"/>
                                    </w:rPr>
                                    <w:t>4</w:t>
                                  </w:r>
                                </w:p>
                              </w:tc>
                              <w:tc>
                                <w:tcPr>
                                  <w:tcW w:w="1440" w:type="dxa"/>
                                  <w:tcBorders>
                                    <w:top w:val="nil"/>
                                    <w:left w:val="nil"/>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2.0</w:t>
                                  </w:r>
                                </w:p>
                              </w:tc>
                            </w:tr>
                            <w:tr w:rsidR="00D837DA" w:rsidRPr="00EB500F" w:rsidTr="00FE0FA4">
                              <w:trPr>
                                <w:trHeight w:val="300"/>
                              </w:trPr>
                              <w:tc>
                                <w:tcPr>
                                  <w:tcW w:w="3060" w:type="dxa"/>
                                  <w:tcBorders>
                                    <w:top w:val="nil"/>
                                    <w:left w:val="single" w:sz="4" w:space="0" w:color="auto"/>
                                    <w:bottom w:val="single" w:sz="4" w:space="0" w:color="auto"/>
                                    <w:right w:val="nil"/>
                                  </w:tcBorders>
                                  <w:shd w:val="clear" w:color="000000" w:fill="FFFFFF"/>
                                  <w:vAlign w:val="bottom"/>
                                  <w:hideMark/>
                                </w:tcPr>
                                <w:p w:rsidR="00D837DA" w:rsidRPr="00EB500F" w:rsidRDefault="00D837DA" w:rsidP="00FE0FA4">
                                  <w:pPr>
                                    <w:spacing w:after="0" w:line="300" w:lineRule="auto"/>
                                    <w:ind w:firstLine="252"/>
                                    <w:rPr>
                                      <w:rFonts w:ascii="Tahoma" w:eastAsia="Times New Roman" w:hAnsi="Tahoma" w:cs="Tahoma"/>
                                    </w:rPr>
                                  </w:pPr>
                                  <w:r w:rsidRPr="00EB500F">
                                    <w:rPr>
                                      <w:rFonts w:ascii="Tahoma" w:eastAsia="Times New Roman" w:hAnsi="Tahoma" w:cs="Tahoma"/>
                                    </w:rPr>
                                    <w:t>Government</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sidRPr="00EB500F">
                                    <w:rPr>
                                      <w:rFonts w:ascii="Tahoma" w:eastAsia="Times New Roman" w:hAnsi="Tahoma" w:cs="Tahoma"/>
                                    </w:rPr>
                                    <w:t>18.</w:t>
                                  </w:r>
                                  <w:r>
                                    <w:rPr>
                                      <w:rFonts w:ascii="Tahoma" w:eastAsia="Times New Roman" w:hAnsi="Tahoma" w:cs="Tahoma"/>
                                    </w:rPr>
                                    <w:t>9</w:t>
                                  </w:r>
                                </w:p>
                              </w:tc>
                              <w:tc>
                                <w:tcPr>
                                  <w:tcW w:w="1440" w:type="dxa"/>
                                  <w:tcBorders>
                                    <w:top w:val="nil"/>
                                    <w:left w:val="nil"/>
                                    <w:bottom w:val="single" w:sz="4" w:space="0" w:color="auto"/>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sidRPr="00EB500F">
                                    <w:rPr>
                                      <w:rFonts w:ascii="Tahoma" w:eastAsia="Times New Roman" w:hAnsi="Tahoma" w:cs="Tahoma"/>
                                    </w:rPr>
                                    <w:t>-0.</w:t>
                                  </w:r>
                                  <w:r>
                                    <w:rPr>
                                      <w:rFonts w:ascii="Tahoma" w:eastAsia="Times New Roman" w:hAnsi="Tahoma" w:cs="Tahoma"/>
                                    </w:rPr>
                                    <w:t>8</w:t>
                                  </w:r>
                                </w:p>
                              </w:tc>
                            </w:tr>
                            <w:tr w:rsidR="00D837DA" w:rsidRPr="00EB500F" w:rsidTr="00FE0FA4">
                              <w:trPr>
                                <w:trHeight w:val="405"/>
                              </w:trPr>
                              <w:tc>
                                <w:tcPr>
                                  <w:tcW w:w="3060" w:type="dxa"/>
                                  <w:tcBorders>
                                    <w:top w:val="single" w:sz="4" w:space="0" w:color="auto"/>
                                    <w:left w:val="single" w:sz="4" w:space="0" w:color="auto"/>
                                    <w:bottom w:val="single" w:sz="4" w:space="0" w:color="auto"/>
                                    <w:right w:val="nil"/>
                                  </w:tcBorders>
                                  <w:shd w:val="clear" w:color="000000" w:fill="FFFFFF"/>
                                  <w:vAlign w:val="bottom"/>
                                  <w:hideMark/>
                                </w:tcPr>
                                <w:p w:rsidR="00D837DA" w:rsidRPr="00EB500F" w:rsidRDefault="00D837DA" w:rsidP="00FE0FA4">
                                  <w:pPr>
                                    <w:spacing w:before="120" w:after="0" w:line="300" w:lineRule="auto"/>
                                    <w:jc w:val="center"/>
                                    <w:rPr>
                                      <w:rFonts w:ascii="Tahoma" w:eastAsia="Times New Roman" w:hAnsi="Tahoma" w:cs="Tahoma"/>
                                    </w:rPr>
                                  </w:pPr>
                                  <w:r w:rsidRPr="00EB500F">
                                    <w:rPr>
                                      <w:rFonts w:ascii="Tahoma" w:eastAsia="Times New Roman" w:hAnsi="Tahoma" w:cs="Tahoma"/>
                                    </w:rPr>
                                    <w:t xml:space="preserve">Total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7DA" w:rsidRPr="00EB500F" w:rsidRDefault="00D837DA" w:rsidP="00FE0FA4">
                                  <w:pPr>
                                    <w:spacing w:before="120" w:after="0" w:line="300" w:lineRule="auto"/>
                                    <w:jc w:val="right"/>
                                    <w:rPr>
                                      <w:rFonts w:ascii="Tahoma" w:eastAsia="Times New Roman" w:hAnsi="Tahoma" w:cs="Tahoma"/>
                                    </w:rPr>
                                  </w:pPr>
                                  <w:r>
                                    <w:rPr>
                                      <w:rFonts w:ascii="Tahoma" w:eastAsia="Times New Roman" w:hAnsi="Tahoma" w:cs="Tahoma"/>
                                    </w:rPr>
                                    <w:t>113.3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837DA" w:rsidRPr="00EB500F" w:rsidRDefault="00D837DA" w:rsidP="00FE0FA4">
                                  <w:pPr>
                                    <w:spacing w:before="120" w:after="0" w:line="300" w:lineRule="auto"/>
                                    <w:jc w:val="right"/>
                                    <w:rPr>
                                      <w:rFonts w:ascii="Tahoma" w:eastAsia="Times New Roman" w:hAnsi="Tahoma" w:cs="Tahoma"/>
                                    </w:rPr>
                                  </w:pPr>
                                  <w:r>
                                    <w:rPr>
                                      <w:rFonts w:ascii="Tahoma" w:eastAsia="Times New Roman" w:hAnsi="Tahoma" w:cs="Tahoma"/>
                                    </w:rPr>
                                    <w:t>1.8</w:t>
                                  </w:r>
                                </w:p>
                              </w:tc>
                            </w:tr>
                          </w:tbl>
                          <w:p w:rsidR="00D837DA" w:rsidRPr="00EF1BAC" w:rsidRDefault="00D837DA" w:rsidP="00097CFE">
                            <w:pPr>
                              <w:rPr>
                                <w:rFonts w:ascii="Tahoma" w:hAnsi="Tahoma" w:cs="Tahoma"/>
                                <w:sz w:val="18"/>
                                <w:szCs w:val="18"/>
                              </w:rPr>
                            </w:pPr>
                            <w:r w:rsidRPr="00EF1BAC">
                              <w:rPr>
                                <w:rFonts w:ascii="Tahoma" w:hAnsi="Tahoma" w:cs="Tahoma"/>
                                <w:sz w:val="18"/>
                                <w:szCs w:val="18"/>
                              </w:rPr>
                              <w:t>Source: U.S. Bureau of Labor Statistics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0.25pt;margin-top:313.15pt;width:314.8pt;height:326.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zeIwIAACM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" stroked="f">
                <v:textbox>
                  <w:txbxContent>
                    <w:p w:rsidR="00D837DA" w:rsidRPr="00EB500F" w:rsidRDefault="00D837DA" w:rsidP="00097CFE">
                      <w:pPr>
                        <w:spacing w:after="0" w:line="240" w:lineRule="auto"/>
                        <w:jc w:val="center"/>
                        <w:rPr>
                          <w:rFonts w:ascii="Tahoma" w:hAnsi="Tahoma" w:cs="Tahoma"/>
                        </w:rPr>
                      </w:pPr>
                      <w:r w:rsidRPr="00EB500F">
                        <w:rPr>
                          <w:rFonts w:ascii="Tahoma" w:hAnsi="Tahoma" w:cs="Tahoma"/>
                        </w:rPr>
                        <w:t>Table 3</w:t>
                      </w:r>
                    </w:p>
                    <w:p w:rsidR="00D837DA" w:rsidRDefault="00D837DA" w:rsidP="00097CFE">
                      <w:pPr>
                        <w:spacing w:after="0" w:line="240" w:lineRule="auto"/>
                        <w:jc w:val="center"/>
                        <w:rPr>
                          <w:rFonts w:ascii="Tahoma" w:hAnsi="Tahoma" w:cs="Tahoma"/>
                        </w:rPr>
                      </w:pPr>
                      <w:r>
                        <w:rPr>
                          <w:rFonts w:ascii="Tahoma" w:hAnsi="Tahoma" w:cs="Tahoma"/>
                        </w:rPr>
                        <w:t>Waco MSA June Total</w:t>
                      </w:r>
                      <w:r w:rsidRPr="00EB500F">
                        <w:rPr>
                          <w:rFonts w:ascii="Tahoma" w:hAnsi="Tahoma" w:cs="Tahoma"/>
                        </w:rPr>
                        <w:t xml:space="preserve"> and </w:t>
                      </w:r>
                      <w:r>
                        <w:rPr>
                          <w:rFonts w:ascii="Tahoma" w:hAnsi="Tahoma" w:cs="Tahoma"/>
                        </w:rPr>
                        <w:t xml:space="preserve">Average </w:t>
                      </w:r>
                      <w:r w:rsidRPr="00EB500F">
                        <w:rPr>
                          <w:rFonts w:ascii="Tahoma" w:hAnsi="Tahoma" w:cs="Tahoma"/>
                        </w:rPr>
                        <w:t xml:space="preserve">Annual Rate of </w:t>
                      </w:r>
                    </w:p>
                    <w:p w:rsidR="00D837DA" w:rsidRPr="00EB500F" w:rsidRDefault="00D837DA" w:rsidP="00097CFE">
                      <w:pPr>
                        <w:spacing w:after="0" w:line="240" w:lineRule="auto"/>
                        <w:jc w:val="center"/>
                        <w:rPr>
                          <w:rFonts w:ascii="Tahoma" w:hAnsi="Tahoma" w:cs="Tahoma"/>
                        </w:rPr>
                      </w:pPr>
                      <w:r w:rsidRPr="00EB500F">
                        <w:rPr>
                          <w:rFonts w:ascii="Tahoma" w:hAnsi="Tahoma" w:cs="Tahoma"/>
                        </w:rPr>
                        <w:t xml:space="preserve">Growth in </w:t>
                      </w:r>
                      <w:r>
                        <w:rPr>
                          <w:rFonts w:ascii="Tahoma" w:hAnsi="Tahoma" w:cs="Tahoma"/>
                        </w:rPr>
                        <w:t xml:space="preserve">Monthly Industry </w:t>
                      </w:r>
                      <w:r w:rsidRPr="00EB500F">
                        <w:rPr>
                          <w:rFonts w:ascii="Tahoma" w:hAnsi="Tahoma" w:cs="Tahoma"/>
                        </w:rPr>
                        <w:t>Sector Employment</w:t>
                      </w:r>
                    </w:p>
                    <w:p w:rsidR="00D837DA" w:rsidRPr="00EB500F" w:rsidRDefault="00D837DA" w:rsidP="00097CFE">
                      <w:pPr>
                        <w:spacing w:after="0" w:line="240" w:lineRule="auto"/>
                        <w:jc w:val="center"/>
                        <w:rPr>
                          <w:rFonts w:ascii="Tahoma" w:hAnsi="Tahoma" w:cs="Tahoma"/>
                        </w:rPr>
                      </w:pPr>
                      <w:r w:rsidRPr="00EB500F">
                        <w:rPr>
                          <w:rFonts w:ascii="Tahoma" w:hAnsi="Tahoma" w:cs="Tahoma"/>
                        </w:rPr>
                        <w:t xml:space="preserve"> January 2015 - </w:t>
                      </w:r>
                      <w:r>
                        <w:rPr>
                          <w:rFonts w:ascii="Tahoma" w:hAnsi="Tahoma" w:cs="Tahoma"/>
                        </w:rPr>
                        <w:t>June</w:t>
                      </w:r>
                      <w:r w:rsidRPr="00EB500F">
                        <w:rPr>
                          <w:rFonts w:ascii="Tahoma" w:hAnsi="Tahoma" w:cs="Tahoma"/>
                        </w:rPr>
                        <w:t xml:space="preserve"> 2015</w:t>
                      </w:r>
                    </w:p>
                    <w:p w:rsidR="00D837DA" w:rsidRPr="00EB500F" w:rsidRDefault="00D837DA" w:rsidP="00097CFE">
                      <w:pPr>
                        <w:spacing w:after="0"/>
                        <w:jc w:val="center"/>
                        <w:rPr>
                          <w:rFonts w:ascii="Tahoma" w:hAnsi="Tahoma" w:cs="Tahoma"/>
                        </w:rPr>
                      </w:pPr>
                    </w:p>
                    <w:tbl>
                      <w:tblPr>
                        <w:tblW w:w="6120" w:type="dxa"/>
                        <w:tblInd w:w="18" w:type="dxa"/>
                        <w:tblLook w:val="04A0" w:firstRow="1" w:lastRow="0" w:firstColumn="1" w:lastColumn="0" w:noHBand="0" w:noVBand="1"/>
                      </w:tblPr>
                      <w:tblGrid>
                        <w:gridCol w:w="3060"/>
                        <w:gridCol w:w="1620"/>
                        <w:gridCol w:w="1440"/>
                      </w:tblGrid>
                      <w:tr w:rsidR="00D837DA" w:rsidRPr="00EB500F" w:rsidTr="00FE0FA4">
                        <w:trPr>
                          <w:trHeight w:val="323"/>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D837DA" w:rsidRPr="00EB500F" w:rsidRDefault="00D837DA" w:rsidP="00EF1BAC">
                            <w:pPr>
                              <w:spacing w:before="240" w:after="0" w:line="240" w:lineRule="auto"/>
                              <w:ind w:left="-108"/>
                              <w:jc w:val="center"/>
                              <w:rPr>
                                <w:rFonts w:ascii="Tahoma" w:eastAsia="Times New Roman" w:hAnsi="Tahoma" w:cs="Tahoma"/>
                                <w:color w:val="000000"/>
                              </w:rPr>
                            </w:pPr>
                            <w:r w:rsidRPr="00EB500F">
                              <w:rPr>
                                <w:rFonts w:ascii="Tahoma" w:eastAsia="Times New Roman" w:hAnsi="Tahoma" w:cs="Tahoma"/>
                                <w:color w:val="000000"/>
                              </w:rPr>
                              <w:t>Industry</w:t>
                            </w:r>
                          </w:p>
                          <w:p w:rsidR="00D837DA" w:rsidRPr="00EB500F" w:rsidRDefault="00D837DA" w:rsidP="002236B9">
                            <w:pPr>
                              <w:spacing w:after="0" w:line="240" w:lineRule="auto"/>
                              <w:jc w:val="center"/>
                              <w:rPr>
                                <w:rFonts w:ascii="Tahoma" w:eastAsia="Times New Roman" w:hAnsi="Tahoma" w:cs="Tahoma"/>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7DA" w:rsidRPr="00EB500F" w:rsidRDefault="00D837DA" w:rsidP="002236B9">
                            <w:pPr>
                              <w:spacing w:after="0" w:line="240" w:lineRule="auto"/>
                              <w:jc w:val="center"/>
                              <w:rPr>
                                <w:rFonts w:ascii="Tahoma" w:eastAsia="Times New Roman" w:hAnsi="Tahoma" w:cs="Tahoma"/>
                                <w:color w:val="000000"/>
                              </w:rPr>
                            </w:pPr>
                            <w:r>
                              <w:rPr>
                                <w:rFonts w:ascii="Tahoma" w:eastAsia="Times New Roman" w:hAnsi="Tahoma" w:cs="Tahoma"/>
                                <w:color w:val="000000"/>
                              </w:rPr>
                              <w:t xml:space="preserve">June 2015 </w:t>
                            </w:r>
                            <w:r w:rsidRPr="00EB500F">
                              <w:rPr>
                                <w:rFonts w:ascii="Tahoma" w:eastAsia="Times New Roman" w:hAnsi="Tahoma" w:cs="Tahoma"/>
                                <w:color w:val="000000"/>
                              </w:rPr>
                              <w:t>Employment</w:t>
                            </w:r>
                          </w:p>
                          <w:p w:rsidR="00D837DA" w:rsidRPr="00EB500F" w:rsidRDefault="00D837DA" w:rsidP="002236B9">
                            <w:pPr>
                              <w:spacing w:after="0" w:line="240" w:lineRule="auto"/>
                              <w:jc w:val="center"/>
                              <w:rPr>
                                <w:rFonts w:ascii="Tahoma" w:eastAsia="Times New Roman" w:hAnsi="Tahoma" w:cs="Tahoma"/>
                                <w:color w:val="000000"/>
                              </w:rPr>
                            </w:pPr>
                            <w:r w:rsidRPr="00EB500F">
                              <w:rPr>
                                <w:rFonts w:ascii="Tahoma" w:eastAsia="Times New Roman" w:hAnsi="Tahoma" w:cs="Tahoma"/>
                                <w:color w:val="000000"/>
                              </w:rPr>
                              <w:t>(thousands)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837DA" w:rsidRPr="00EB500F" w:rsidRDefault="00D837DA" w:rsidP="00FE0FA4">
                            <w:pPr>
                              <w:pStyle w:val="ListParagraph"/>
                              <w:spacing w:after="0" w:line="240" w:lineRule="auto"/>
                              <w:ind w:left="-20"/>
                              <w:jc w:val="center"/>
                              <w:rPr>
                                <w:rFonts w:ascii="Tahoma" w:eastAsia="Times New Roman" w:hAnsi="Tahoma" w:cs="Tahoma"/>
                                <w:color w:val="000000"/>
                              </w:rPr>
                            </w:pPr>
                            <w:r>
                              <w:rPr>
                                <w:rFonts w:ascii="Tahoma" w:eastAsia="Times New Roman" w:hAnsi="Tahoma" w:cs="Tahoma"/>
                                <w:color w:val="000000"/>
                              </w:rPr>
                              <w:t>Average A</w:t>
                            </w:r>
                            <w:r>
                              <w:rPr>
                                <w:rFonts w:ascii="Tahoma" w:eastAsia="Times New Roman" w:hAnsi="Tahoma" w:cs="Tahoma"/>
                                <w:color w:val="000000"/>
                              </w:rPr>
                              <w:t>n</w:t>
                            </w:r>
                            <w:r>
                              <w:rPr>
                                <w:rFonts w:ascii="Tahoma" w:eastAsia="Times New Roman" w:hAnsi="Tahoma" w:cs="Tahoma"/>
                                <w:color w:val="000000"/>
                              </w:rPr>
                              <w:t xml:space="preserve">nual Growth Rate </w:t>
                            </w:r>
                          </w:p>
                        </w:tc>
                      </w:tr>
                      <w:tr w:rsidR="00D837DA" w:rsidRPr="00EB500F" w:rsidTr="00FE0FA4">
                        <w:trPr>
                          <w:trHeight w:val="466"/>
                        </w:trPr>
                        <w:tc>
                          <w:tcPr>
                            <w:tcW w:w="3060" w:type="dxa"/>
                            <w:tcBorders>
                              <w:top w:val="nil"/>
                              <w:left w:val="single" w:sz="4" w:space="0" w:color="auto"/>
                              <w:bottom w:val="nil"/>
                              <w:right w:val="nil"/>
                            </w:tcBorders>
                            <w:shd w:val="clear" w:color="000000" w:fill="FFFFFF"/>
                            <w:vAlign w:val="bottom"/>
                            <w:hideMark/>
                          </w:tcPr>
                          <w:p w:rsidR="00D837DA" w:rsidRPr="00EB500F" w:rsidRDefault="00D837DA" w:rsidP="00FE0FA4">
                            <w:pPr>
                              <w:spacing w:after="0" w:line="300" w:lineRule="auto"/>
                              <w:ind w:firstLine="252"/>
                              <w:rPr>
                                <w:rFonts w:ascii="Tahoma" w:eastAsia="Times New Roman" w:hAnsi="Tahoma" w:cs="Tahoma"/>
                              </w:rPr>
                            </w:pPr>
                            <w:r w:rsidRPr="00EB500F">
                              <w:rPr>
                                <w:rFonts w:ascii="Tahoma" w:eastAsia="Times New Roman" w:hAnsi="Tahoma" w:cs="Tahoma"/>
                              </w:rPr>
                              <w:t>Construction</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6.5</w:t>
                            </w:r>
                          </w:p>
                        </w:tc>
                        <w:tc>
                          <w:tcPr>
                            <w:tcW w:w="1440" w:type="dxa"/>
                            <w:tcBorders>
                              <w:top w:val="nil"/>
                              <w:left w:val="nil"/>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4</w:t>
                            </w:r>
                            <w:r w:rsidRPr="00EB500F">
                              <w:rPr>
                                <w:rFonts w:ascii="Tahoma" w:eastAsia="Times New Roman" w:hAnsi="Tahoma" w:cs="Tahoma"/>
                              </w:rPr>
                              <w:t>.</w:t>
                            </w:r>
                            <w:r>
                              <w:rPr>
                                <w:rFonts w:ascii="Tahoma" w:eastAsia="Times New Roman" w:hAnsi="Tahoma" w:cs="Tahoma"/>
                              </w:rPr>
                              <w:t>5</w:t>
                            </w:r>
                          </w:p>
                        </w:tc>
                      </w:tr>
                      <w:tr w:rsidR="00D837DA" w:rsidRPr="00EB500F" w:rsidTr="00FE0FA4">
                        <w:trPr>
                          <w:trHeight w:val="300"/>
                        </w:trPr>
                        <w:tc>
                          <w:tcPr>
                            <w:tcW w:w="3060" w:type="dxa"/>
                            <w:tcBorders>
                              <w:top w:val="nil"/>
                              <w:left w:val="single" w:sz="4" w:space="0" w:color="auto"/>
                              <w:bottom w:val="nil"/>
                              <w:right w:val="nil"/>
                            </w:tcBorders>
                            <w:shd w:val="clear" w:color="000000" w:fill="FFFFFF"/>
                            <w:vAlign w:val="bottom"/>
                            <w:hideMark/>
                          </w:tcPr>
                          <w:p w:rsidR="00D837DA" w:rsidRPr="00EB500F" w:rsidRDefault="00D837DA" w:rsidP="00FE0FA4">
                            <w:pPr>
                              <w:spacing w:after="0" w:line="300" w:lineRule="auto"/>
                              <w:ind w:firstLine="252"/>
                              <w:rPr>
                                <w:rFonts w:ascii="Tahoma" w:eastAsia="Times New Roman" w:hAnsi="Tahoma" w:cs="Tahoma"/>
                              </w:rPr>
                            </w:pPr>
                            <w:r w:rsidRPr="00EB500F">
                              <w:rPr>
                                <w:rFonts w:ascii="Tahoma" w:eastAsia="Times New Roman" w:hAnsi="Tahoma" w:cs="Tahoma"/>
                              </w:rPr>
                              <w:t>Manufacturing</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14.4</w:t>
                            </w:r>
                          </w:p>
                        </w:tc>
                        <w:tc>
                          <w:tcPr>
                            <w:tcW w:w="1440" w:type="dxa"/>
                            <w:tcBorders>
                              <w:top w:val="nil"/>
                              <w:left w:val="nil"/>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-1.4</w:t>
                            </w:r>
                          </w:p>
                        </w:tc>
                      </w:tr>
                      <w:tr w:rsidR="00D837DA" w:rsidRPr="00EB500F" w:rsidTr="00FE0FA4">
                        <w:trPr>
                          <w:trHeight w:val="300"/>
                        </w:trPr>
                        <w:tc>
                          <w:tcPr>
                            <w:tcW w:w="3060" w:type="dxa"/>
                            <w:tcBorders>
                              <w:top w:val="nil"/>
                              <w:left w:val="single" w:sz="4" w:space="0" w:color="auto"/>
                              <w:bottom w:val="nil"/>
                              <w:right w:val="nil"/>
                            </w:tcBorders>
                            <w:shd w:val="clear" w:color="000000" w:fill="FFFFFF"/>
                            <w:vAlign w:val="bottom"/>
                            <w:hideMark/>
                          </w:tcPr>
                          <w:p w:rsidR="00D837DA" w:rsidRPr="00EB500F" w:rsidRDefault="00D837DA" w:rsidP="00FE0FA4">
                            <w:pPr>
                              <w:spacing w:after="0" w:line="300" w:lineRule="auto"/>
                              <w:ind w:firstLine="252"/>
                              <w:rPr>
                                <w:rFonts w:ascii="Tahoma" w:eastAsia="Times New Roman" w:hAnsi="Tahoma" w:cs="Tahoma"/>
                              </w:rPr>
                            </w:pPr>
                            <w:r w:rsidRPr="00EB500F">
                              <w:rPr>
                                <w:rFonts w:ascii="Tahoma" w:eastAsia="Times New Roman" w:hAnsi="Tahoma" w:cs="Tahoma"/>
                              </w:rPr>
                              <w:t>Trade, Trans., Utilities</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19.3</w:t>
                            </w:r>
                          </w:p>
                        </w:tc>
                        <w:tc>
                          <w:tcPr>
                            <w:tcW w:w="1440" w:type="dxa"/>
                            <w:tcBorders>
                              <w:top w:val="nil"/>
                              <w:left w:val="nil"/>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0.3</w:t>
                            </w:r>
                          </w:p>
                        </w:tc>
                      </w:tr>
                      <w:tr w:rsidR="00D837DA" w:rsidRPr="00EB500F" w:rsidTr="00FE0FA4">
                        <w:trPr>
                          <w:trHeight w:val="300"/>
                        </w:trPr>
                        <w:tc>
                          <w:tcPr>
                            <w:tcW w:w="3060" w:type="dxa"/>
                            <w:tcBorders>
                              <w:top w:val="nil"/>
                              <w:left w:val="single" w:sz="4" w:space="0" w:color="auto"/>
                              <w:bottom w:val="nil"/>
                              <w:right w:val="nil"/>
                            </w:tcBorders>
                            <w:shd w:val="clear" w:color="000000" w:fill="FFFFFF"/>
                            <w:vAlign w:val="bottom"/>
                            <w:hideMark/>
                          </w:tcPr>
                          <w:p w:rsidR="00D837DA" w:rsidRPr="00EB500F" w:rsidRDefault="00D837DA" w:rsidP="00FE0FA4">
                            <w:pPr>
                              <w:spacing w:after="0" w:line="300" w:lineRule="auto"/>
                              <w:ind w:firstLine="252"/>
                              <w:rPr>
                                <w:rFonts w:ascii="Tahoma" w:eastAsia="Times New Roman" w:hAnsi="Tahoma" w:cs="Tahoma"/>
                              </w:rPr>
                            </w:pPr>
                            <w:r w:rsidRPr="00EB500F">
                              <w:rPr>
                                <w:rFonts w:ascii="Tahoma" w:eastAsia="Times New Roman" w:hAnsi="Tahoma" w:cs="Tahoma"/>
                              </w:rPr>
                              <w:t>Information</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1.2</w:t>
                            </w:r>
                          </w:p>
                        </w:tc>
                        <w:tc>
                          <w:tcPr>
                            <w:tcW w:w="1440" w:type="dxa"/>
                            <w:tcBorders>
                              <w:top w:val="nil"/>
                              <w:left w:val="nil"/>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sidRPr="00EB500F">
                              <w:rPr>
                                <w:rFonts w:ascii="Tahoma" w:eastAsia="Times New Roman" w:hAnsi="Tahoma" w:cs="Tahoma"/>
                              </w:rPr>
                              <w:t>-</w:t>
                            </w:r>
                            <w:r>
                              <w:rPr>
                                <w:rFonts w:ascii="Tahoma" w:eastAsia="Times New Roman" w:hAnsi="Tahoma" w:cs="Tahoma"/>
                              </w:rPr>
                              <w:t>9.9</w:t>
                            </w:r>
                          </w:p>
                        </w:tc>
                      </w:tr>
                      <w:tr w:rsidR="00D837DA" w:rsidRPr="00EB500F" w:rsidTr="00FE0FA4">
                        <w:trPr>
                          <w:trHeight w:val="300"/>
                        </w:trPr>
                        <w:tc>
                          <w:tcPr>
                            <w:tcW w:w="3060" w:type="dxa"/>
                            <w:tcBorders>
                              <w:top w:val="nil"/>
                              <w:left w:val="single" w:sz="4" w:space="0" w:color="auto"/>
                              <w:bottom w:val="nil"/>
                              <w:right w:val="nil"/>
                            </w:tcBorders>
                            <w:shd w:val="clear" w:color="000000" w:fill="FFFFFF"/>
                            <w:vAlign w:val="bottom"/>
                            <w:hideMark/>
                          </w:tcPr>
                          <w:p w:rsidR="00D837DA" w:rsidRPr="00EB500F" w:rsidRDefault="00D837DA" w:rsidP="00FE0FA4">
                            <w:pPr>
                              <w:spacing w:after="0" w:line="300" w:lineRule="auto"/>
                              <w:ind w:firstLine="252"/>
                              <w:rPr>
                                <w:rFonts w:ascii="Tahoma" w:eastAsia="Times New Roman" w:hAnsi="Tahoma" w:cs="Tahoma"/>
                              </w:rPr>
                            </w:pPr>
                            <w:r w:rsidRPr="00EB500F">
                              <w:rPr>
                                <w:rFonts w:ascii="Tahoma" w:eastAsia="Times New Roman" w:hAnsi="Tahoma" w:cs="Tahoma"/>
                              </w:rPr>
                              <w:t>Financial Activities</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6.4</w:t>
                            </w:r>
                          </w:p>
                        </w:tc>
                        <w:tc>
                          <w:tcPr>
                            <w:tcW w:w="1440" w:type="dxa"/>
                            <w:tcBorders>
                              <w:top w:val="nil"/>
                              <w:left w:val="nil"/>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3.6</w:t>
                            </w:r>
                          </w:p>
                        </w:tc>
                      </w:tr>
                      <w:tr w:rsidR="00D837DA" w:rsidRPr="00EB500F" w:rsidTr="00FE0FA4">
                        <w:trPr>
                          <w:trHeight w:val="300"/>
                        </w:trPr>
                        <w:tc>
                          <w:tcPr>
                            <w:tcW w:w="3060" w:type="dxa"/>
                            <w:tcBorders>
                              <w:top w:val="nil"/>
                              <w:left w:val="single" w:sz="4" w:space="0" w:color="auto"/>
                              <w:bottom w:val="nil"/>
                              <w:right w:val="nil"/>
                            </w:tcBorders>
                            <w:shd w:val="clear" w:color="000000" w:fill="FFFFFF"/>
                            <w:vAlign w:val="bottom"/>
                            <w:hideMark/>
                          </w:tcPr>
                          <w:p w:rsidR="00D837DA" w:rsidRPr="00EB500F" w:rsidRDefault="00D837DA" w:rsidP="00FE0FA4">
                            <w:pPr>
                              <w:spacing w:after="0" w:line="300" w:lineRule="auto"/>
                              <w:ind w:firstLine="252"/>
                              <w:rPr>
                                <w:rFonts w:ascii="Tahoma" w:eastAsia="Times New Roman" w:hAnsi="Tahoma" w:cs="Tahoma"/>
                              </w:rPr>
                            </w:pPr>
                            <w:r w:rsidRPr="00EB500F">
                              <w:rPr>
                                <w:rFonts w:ascii="Tahoma" w:eastAsia="Times New Roman" w:hAnsi="Tahoma" w:cs="Tahoma"/>
                              </w:rPr>
                              <w:t>Prof. and Bus. Services</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sidRPr="00EB500F">
                              <w:rPr>
                                <w:rFonts w:ascii="Tahoma" w:eastAsia="Times New Roman" w:hAnsi="Tahoma" w:cs="Tahoma"/>
                              </w:rPr>
                              <w:t>11.</w:t>
                            </w:r>
                            <w:r>
                              <w:rPr>
                                <w:rFonts w:ascii="Tahoma" w:eastAsia="Times New Roman" w:hAnsi="Tahoma" w:cs="Tahoma"/>
                              </w:rPr>
                              <w:t>8</w:t>
                            </w:r>
                          </w:p>
                        </w:tc>
                        <w:tc>
                          <w:tcPr>
                            <w:tcW w:w="1440" w:type="dxa"/>
                            <w:tcBorders>
                              <w:top w:val="nil"/>
                              <w:left w:val="nil"/>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sidRPr="00EB500F">
                              <w:rPr>
                                <w:rFonts w:ascii="Tahoma" w:eastAsia="Times New Roman" w:hAnsi="Tahoma" w:cs="Tahoma"/>
                              </w:rPr>
                              <w:t>1</w:t>
                            </w:r>
                            <w:r>
                              <w:rPr>
                                <w:rFonts w:ascii="Tahoma" w:eastAsia="Times New Roman" w:hAnsi="Tahoma" w:cs="Tahoma"/>
                              </w:rPr>
                              <w:t>2.1</w:t>
                            </w:r>
                          </w:p>
                        </w:tc>
                      </w:tr>
                      <w:tr w:rsidR="00D837DA" w:rsidRPr="00EB500F" w:rsidTr="00FE0FA4">
                        <w:trPr>
                          <w:trHeight w:val="300"/>
                        </w:trPr>
                        <w:tc>
                          <w:tcPr>
                            <w:tcW w:w="3060" w:type="dxa"/>
                            <w:tcBorders>
                              <w:top w:val="nil"/>
                              <w:left w:val="single" w:sz="4" w:space="0" w:color="auto"/>
                              <w:bottom w:val="nil"/>
                              <w:right w:val="nil"/>
                            </w:tcBorders>
                            <w:shd w:val="clear" w:color="000000" w:fill="FFFFFF"/>
                            <w:vAlign w:val="bottom"/>
                            <w:hideMark/>
                          </w:tcPr>
                          <w:p w:rsidR="00D837DA" w:rsidRPr="00EB500F" w:rsidRDefault="00D837DA" w:rsidP="00FE0FA4">
                            <w:pPr>
                              <w:spacing w:after="0" w:line="300" w:lineRule="auto"/>
                              <w:ind w:firstLine="252"/>
                              <w:rPr>
                                <w:rFonts w:ascii="Tahoma" w:eastAsia="Times New Roman" w:hAnsi="Tahoma" w:cs="Tahoma"/>
                              </w:rPr>
                            </w:pPr>
                            <w:r w:rsidRPr="00EB500F">
                              <w:rPr>
                                <w:rFonts w:ascii="Tahoma" w:eastAsia="Times New Roman" w:hAnsi="Tahoma" w:cs="Tahoma"/>
                              </w:rPr>
                              <w:t>Education and Health</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sidRPr="00EB500F">
                              <w:rPr>
                                <w:rFonts w:ascii="Tahoma" w:eastAsia="Times New Roman" w:hAnsi="Tahoma" w:cs="Tahoma"/>
                              </w:rPr>
                              <w:t>18.</w:t>
                            </w:r>
                            <w:r>
                              <w:rPr>
                                <w:rFonts w:ascii="Tahoma" w:eastAsia="Times New Roman" w:hAnsi="Tahoma" w:cs="Tahoma"/>
                              </w:rPr>
                              <w:t>3</w:t>
                            </w:r>
                          </w:p>
                        </w:tc>
                        <w:tc>
                          <w:tcPr>
                            <w:tcW w:w="1440" w:type="dxa"/>
                            <w:tcBorders>
                              <w:top w:val="nil"/>
                              <w:left w:val="nil"/>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sidRPr="00EB500F">
                              <w:rPr>
                                <w:rFonts w:ascii="Tahoma" w:eastAsia="Times New Roman" w:hAnsi="Tahoma" w:cs="Tahoma"/>
                              </w:rPr>
                              <w:t>0.</w:t>
                            </w:r>
                            <w:r>
                              <w:rPr>
                                <w:rFonts w:ascii="Tahoma" w:eastAsia="Times New Roman" w:hAnsi="Tahoma" w:cs="Tahoma"/>
                              </w:rPr>
                              <w:t>6</w:t>
                            </w:r>
                          </w:p>
                        </w:tc>
                      </w:tr>
                      <w:tr w:rsidR="00D837DA" w:rsidRPr="00EB500F" w:rsidTr="00FE0FA4">
                        <w:trPr>
                          <w:trHeight w:val="300"/>
                        </w:trPr>
                        <w:tc>
                          <w:tcPr>
                            <w:tcW w:w="3060" w:type="dxa"/>
                            <w:tcBorders>
                              <w:top w:val="nil"/>
                              <w:left w:val="single" w:sz="4" w:space="0" w:color="auto"/>
                              <w:bottom w:val="nil"/>
                              <w:right w:val="nil"/>
                            </w:tcBorders>
                            <w:shd w:val="clear" w:color="000000" w:fill="FFFFFF"/>
                            <w:vAlign w:val="bottom"/>
                            <w:hideMark/>
                          </w:tcPr>
                          <w:p w:rsidR="00D837DA" w:rsidRPr="00EB500F" w:rsidRDefault="00D837DA" w:rsidP="00FE0FA4">
                            <w:pPr>
                              <w:spacing w:after="0" w:line="300" w:lineRule="auto"/>
                              <w:ind w:firstLine="252"/>
                              <w:rPr>
                                <w:rFonts w:ascii="Tahoma" w:eastAsia="Times New Roman" w:hAnsi="Tahoma" w:cs="Tahoma"/>
                              </w:rPr>
                            </w:pPr>
                            <w:r w:rsidRPr="00EB500F">
                              <w:rPr>
                                <w:rFonts w:ascii="Tahoma" w:eastAsia="Times New Roman" w:hAnsi="Tahoma" w:cs="Tahoma"/>
                              </w:rPr>
                              <w:t>Leisure and Hospitality</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12.1</w:t>
                            </w:r>
                          </w:p>
                        </w:tc>
                        <w:tc>
                          <w:tcPr>
                            <w:tcW w:w="1440" w:type="dxa"/>
                            <w:tcBorders>
                              <w:top w:val="nil"/>
                              <w:left w:val="nil"/>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3.8</w:t>
                            </w:r>
                          </w:p>
                        </w:tc>
                      </w:tr>
                      <w:tr w:rsidR="00D837DA" w:rsidRPr="00EB500F" w:rsidTr="00FE0FA4">
                        <w:trPr>
                          <w:trHeight w:val="300"/>
                        </w:trPr>
                        <w:tc>
                          <w:tcPr>
                            <w:tcW w:w="3060" w:type="dxa"/>
                            <w:tcBorders>
                              <w:top w:val="nil"/>
                              <w:left w:val="single" w:sz="4" w:space="0" w:color="auto"/>
                              <w:bottom w:val="nil"/>
                              <w:right w:val="nil"/>
                            </w:tcBorders>
                            <w:shd w:val="clear" w:color="000000" w:fill="FFFFFF"/>
                            <w:vAlign w:val="bottom"/>
                            <w:hideMark/>
                          </w:tcPr>
                          <w:p w:rsidR="00D837DA" w:rsidRPr="00EB500F" w:rsidRDefault="00D837DA" w:rsidP="00FE0FA4">
                            <w:pPr>
                              <w:spacing w:after="0" w:line="300" w:lineRule="auto"/>
                              <w:ind w:firstLine="252"/>
                              <w:rPr>
                                <w:rFonts w:ascii="Tahoma" w:eastAsia="Times New Roman" w:hAnsi="Tahoma" w:cs="Tahoma"/>
                              </w:rPr>
                            </w:pPr>
                            <w:r w:rsidRPr="00EB500F">
                              <w:rPr>
                                <w:rFonts w:ascii="Tahoma" w:eastAsia="Times New Roman" w:hAnsi="Tahoma" w:cs="Tahoma"/>
                              </w:rPr>
                              <w:t>Other Services</w:t>
                            </w:r>
                          </w:p>
                        </w:tc>
                        <w:tc>
                          <w:tcPr>
                            <w:tcW w:w="1620" w:type="dxa"/>
                            <w:tcBorders>
                              <w:top w:val="nil"/>
                              <w:left w:val="single" w:sz="4" w:space="0" w:color="auto"/>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sidRPr="00EB500F">
                              <w:rPr>
                                <w:rFonts w:ascii="Tahoma" w:eastAsia="Times New Roman" w:hAnsi="Tahoma" w:cs="Tahoma"/>
                              </w:rPr>
                              <w:t>4.</w:t>
                            </w:r>
                            <w:r>
                              <w:rPr>
                                <w:rFonts w:ascii="Tahoma" w:eastAsia="Times New Roman" w:hAnsi="Tahoma" w:cs="Tahoma"/>
                              </w:rPr>
                              <w:t>4</w:t>
                            </w:r>
                          </w:p>
                        </w:tc>
                        <w:tc>
                          <w:tcPr>
                            <w:tcW w:w="1440" w:type="dxa"/>
                            <w:tcBorders>
                              <w:top w:val="nil"/>
                              <w:left w:val="nil"/>
                              <w:bottom w:val="nil"/>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Pr>
                                <w:rFonts w:ascii="Tahoma" w:eastAsia="Times New Roman" w:hAnsi="Tahoma" w:cs="Tahoma"/>
                              </w:rPr>
                              <w:t>2.0</w:t>
                            </w:r>
                          </w:p>
                        </w:tc>
                      </w:tr>
                      <w:tr w:rsidR="00D837DA" w:rsidRPr="00EB500F" w:rsidTr="00FE0FA4">
                        <w:trPr>
                          <w:trHeight w:val="300"/>
                        </w:trPr>
                        <w:tc>
                          <w:tcPr>
                            <w:tcW w:w="3060" w:type="dxa"/>
                            <w:tcBorders>
                              <w:top w:val="nil"/>
                              <w:left w:val="single" w:sz="4" w:space="0" w:color="auto"/>
                              <w:bottom w:val="single" w:sz="4" w:space="0" w:color="auto"/>
                              <w:right w:val="nil"/>
                            </w:tcBorders>
                            <w:shd w:val="clear" w:color="000000" w:fill="FFFFFF"/>
                            <w:vAlign w:val="bottom"/>
                            <w:hideMark/>
                          </w:tcPr>
                          <w:p w:rsidR="00D837DA" w:rsidRPr="00EB500F" w:rsidRDefault="00D837DA" w:rsidP="00FE0FA4">
                            <w:pPr>
                              <w:spacing w:after="0" w:line="300" w:lineRule="auto"/>
                              <w:ind w:firstLine="252"/>
                              <w:rPr>
                                <w:rFonts w:ascii="Tahoma" w:eastAsia="Times New Roman" w:hAnsi="Tahoma" w:cs="Tahoma"/>
                              </w:rPr>
                            </w:pPr>
                            <w:r w:rsidRPr="00EB500F">
                              <w:rPr>
                                <w:rFonts w:ascii="Tahoma" w:eastAsia="Times New Roman" w:hAnsi="Tahoma" w:cs="Tahoma"/>
                              </w:rPr>
                              <w:t>Government</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sidRPr="00EB500F">
                              <w:rPr>
                                <w:rFonts w:ascii="Tahoma" w:eastAsia="Times New Roman" w:hAnsi="Tahoma" w:cs="Tahoma"/>
                              </w:rPr>
                              <w:t>18.</w:t>
                            </w:r>
                            <w:r>
                              <w:rPr>
                                <w:rFonts w:ascii="Tahoma" w:eastAsia="Times New Roman" w:hAnsi="Tahoma" w:cs="Tahoma"/>
                              </w:rPr>
                              <w:t>9</w:t>
                            </w:r>
                          </w:p>
                        </w:tc>
                        <w:tc>
                          <w:tcPr>
                            <w:tcW w:w="1440" w:type="dxa"/>
                            <w:tcBorders>
                              <w:top w:val="nil"/>
                              <w:left w:val="nil"/>
                              <w:bottom w:val="single" w:sz="4" w:space="0" w:color="auto"/>
                              <w:right w:val="single" w:sz="4" w:space="0" w:color="auto"/>
                            </w:tcBorders>
                            <w:shd w:val="clear" w:color="auto" w:fill="auto"/>
                            <w:noWrap/>
                            <w:vAlign w:val="bottom"/>
                            <w:hideMark/>
                          </w:tcPr>
                          <w:p w:rsidR="00D837DA" w:rsidRPr="00EB500F" w:rsidRDefault="00D837DA" w:rsidP="00FE0FA4">
                            <w:pPr>
                              <w:spacing w:after="0" w:line="300" w:lineRule="auto"/>
                              <w:jc w:val="right"/>
                              <w:rPr>
                                <w:rFonts w:ascii="Tahoma" w:eastAsia="Times New Roman" w:hAnsi="Tahoma" w:cs="Tahoma"/>
                              </w:rPr>
                            </w:pPr>
                            <w:r w:rsidRPr="00EB500F">
                              <w:rPr>
                                <w:rFonts w:ascii="Tahoma" w:eastAsia="Times New Roman" w:hAnsi="Tahoma" w:cs="Tahoma"/>
                              </w:rPr>
                              <w:t>-0.</w:t>
                            </w:r>
                            <w:r>
                              <w:rPr>
                                <w:rFonts w:ascii="Tahoma" w:eastAsia="Times New Roman" w:hAnsi="Tahoma" w:cs="Tahoma"/>
                              </w:rPr>
                              <w:t>8</w:t>
                            </w:r>
                          </w:p>
                        </w:tc>
                      </w:tr>
                      <w:tr w:rsidR="00D837DA" w:rsidRPr="00EB500F" w:rsidTr="00FE0FA4">
                        <w:trPr>
                          <w:trHeight w:val="405"/>
                        </w:trPr>
                        <w:tc>
                          <w:tcPr>
                            <w:tcW w:w="3060" w:type="dxa"/>
                            <w:tcBorders>
                              <w:top w:val="single" w:sz="4" w:space="0" w:color="auto"/>
                              <w:left w:val="single" w:sz="4" w:space="0" w:color="auto"/>
                              <w:bottom w:val="single" w:sz="4" w:space="0" w:color="auto"/>
                              <w:right w:val="nil"/>
                            </w:tcBorders>
                            <w:shd w:val="clear" w:color="000000" w:fill="FFFFFF"/>
                            <w:vAlign w:val="bottom"/>
                            <w:hideMark/>
                          </w:tcPr>
                          <w:p w:rsidR="00D837DA" w:rsidRPr="00EB500F" w:rsidRDefault="00D837DA" w:rsidP="00FE0FA4">
                            <w:pPr>
                              <w:spacing w:before="120" w:after="0" w:line="300" w:lineRule="auto"/>
                              <w:jc w:val="center"/>
                              <w:rPr>
                                <w:rFonts w:ascii="Tahoma" w:eastAsia="Times New Roman" w:hAnsi="Tahoma" w:cs="Tahoma"/>
                              </w:rPr>
                            </w:pPr>
                            <w:r w:rsidRPr="00EB500F">
                              <w:rPr>
                                <w:rFonts w:ascii="Tahoma" w:eastAsia="Times New Roman" w:hAnsi="Tahoma" w:cs="Tahoma"/>
                              </w:rPr>
                              <w:t xml:space="preserve">Total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7DA" w:rsidRPr="00EB500F" w:rsidRDefault="00D837DA" w:rsidP="00FE0FA4">
                            <w:pPr>
                              <w:spacing w:before="120" w:after="0" w:line="300" w:lineRule="auto"/>
                              <w:jc w:val="right"/>
                              <w:rPr>
                                <w:rFonts w:ascii="Tahoma" w:eastAsia="Times New Roman" w:hAnsi="Tahoma" w:cs="Tahoma"/>
                              </w:rPr>
                            </w:pPr>
                            <w:r>
                              <w:rPr>
                                <w:rFonts w:ascii="Tahoma" w:eastAsia="Times New Roman" w:hAnsi="Tahoma" w:cs="Tahoma"/>
                              </w:rPr>
                              <w:t>113.3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837DA" w:rsidRPr="00EB500F" w:rsidRDefault="00D837DA" w:rsidP="00FE0FA4">
                            <w:pPr>
                              <w:spacing w:before="120" w:after="0" w:line="300" w:lineRule="auto"/>
                              <w:jc w:val="right"/>
                              <w:rPr>
                                <w:rFonts w:ascii="Tahoma" w:eastAsia="Times New Roman" w:hAnsi="Tahoma" w:cs="Tahoma"/>
                              </w:rPr>
                            </w:pPr>
                            <w:r>
                              <w:rPr>
                                <w:rFonts w:ascii="Tahoma" w:eastAsia="Times New Roman" w:hAnsi="Tahoma" w:cs="Tahoma"/>
                              </w:rPr>
                              <w:t>1.8</w:t>
                            </w:r>
                          </w:p>
                        </w:tc>
                      </w:tr>
                    </w:tbl>
                    <w:p w:rsidR="00D837DA" w:rsidRPr="00EF1BAC" w:rsidRDefault="00D837DA" w:rsidP="00097CFE">
                      <w:pPr>
                        <w:rPr>
                          <w:rFonts w:ascii="Tahoma" w:hAnsi="Tahoma" w:cs="Tahoma"/>
                          <w:sz w:val="18"/>
                          <w:szCs w:val="18"/>
                        </w:rPr>
                      </w:pPr>
                      <w:r w:rsidRPr="00EF1BAC">
                        <w:rPr>
                          <w:rFonts w:ascii="Tahoma" w:hAnsi="Tahoma" w:cs="Tahoma"/>
                          <w:sz w:val="18"/>
                          <w:szCs w:val="18"/>
                        </w:rPr>
                        <w:t>Source: U.S. Bureau of Labor Statistics</w:t>
                      </w:r>
                    </w:p>
                  </w:txbxContent>
                </v:textbox>
                <w10:wrap type="square" anchorx="margin" anchory="margin"/>
              </v:shape>
            </w:pict>
          </mc:Fallback>
        </mc:AlternateContent>
      </w:r>
      <w:r w:rsidR="008D3CC5">
        <w:rPr>
          <w:rFonts w:ascii="Tahoma" w:hAnsi="Tahoma" w:cs="Tahoma"/>
          <w:sz w:val="24"/>
          <w:szCs w:val="24"/>
        </w:rPr>
        <w:tab/>
      </w:r>
      <w:r w:rsidR="001305DC" w:rsidRPr="00EB500F">
        <w:rPr>
          <w:rFonts w:ascii="Tahoma" w:hAnsi="Tahoma" w:cs="Tahoma"/>
        </w:rPr>
        <w:t>Table 3</w:t>
      </w:r>
      <w:r w:rsidR="00291E1E" w:rsidRPr="00EB500F">
        <w:rPr>
          <w:rFonts w:ascii="Tahoma" w:hAnsi="Tahoma" w:cs="Tahoma"/>
        </w:rPr>
        <w:t xml:space="preserve"> shows the average number of employees </w:t>
      </w:r>
      <w:r w:rsidR="0038682A">
        <w:rPr>
          <w:rFonts w:ascii="Tahoma" w:hAnsi="Tahoma" w:cs="Tahoma"/>
        </w:rPr>
        <w:t xml:space="preserve">in June </w:t>
      </w:r>
      <w:r w:rsidR="00291E1E" w:rsidRPr="00EB500F">
        <w:rPr>
          <w:rFonts w:ascii="Tahoma" w:hAnsi="Tahoma" w:cs="Tahoma"/>
        </w:rPr>
        <w:t>and</w:t>
      </w:r>
      <w:r w:rsidR="0038682A">
        <w:rPr>
          <w:rFonts w:ascii="Tahoma" w:hAnsi="Tahoma" w:cs="Tahoma"/>
        </w:rPr>
        <w:t xml:space="preserve"> the</w:t>
      </w:r>
      <w:r w:rsidR="00291E1E" w:rsidRPr="00EB500F">
        <w:rPr>
          <w:rFonts w:ascii="Tahoma" w:hAnsi="Tahoma" w:cs="Tahoma"/>
        </w:rPr>
        <w:t xml:space="preserve"> average annual rate of growth in employment in each major industry category over the first </w:t>
      </w:r>
      <w:r w:rsidR="00EB500F">
        <w:rPr>
          <w:rFonts w:ascii="Tahoma" w:hAnsi="Tahoma" w:cs="Tahoma"/>
        </w:rPr>
        <w:t>six</w:t>
      </w:r>
      <w:r w:rsidR="00291E1E" w:rsidRPr="00EB500F">
        <w:rPr>
          <w:rFonts w:ascii="Tahoma" w:hAnsi="Tahoma" w:cs="Tahoma"/>
        </w:rPr>
        <w:t xml:space="preserve"> months of 2015.  Employment growth o</w:t>
      </w:r>
      <w:r w:rsidR="00291E1E" w:rsidRPr="00EB500F">
        <w:rPr>
          <w:rFonts w:ascii="Tahoma" w:hAnsi="Tahoma" w:cs="Tahoma"/>
        </w:rPr>
        <w:t>c</w:t>
      </w:r>
      <w:r w:rsidR="00291E1E" w:rsidRPr="00EB500F">
        <w:rPr>
          <w:rFonts w:ascii="Tahoma" w:hAnsi="Tahoma" w:cs="Tahoma"/>
        </w:rPr>
        <w:t>curred in every sector ca</w:t>
      </w:r>
      <w:r w:rsidR="00291E1E" w:rsidRPr="00EB500F">
        <w:rPr>
          <w:rFonts w:ascii="Tahoma" w:hAnsi="Tahoma" w:cs="Tahoma"/>
        </w:rPr>
        <w:t>t</w:t>
      </w:r>
      <w:r w:rsidR="00291E1E" w:rsidRPr="00EB500F">
        <w:rPr>
          <w:rFonts w:ascii="Tahoma" w:hAnsi="Tahoma" w:cs="Tahoma"/>
        </w:rPr>
        <w:t>egory except manufactu</w:t>
      </w:r>
      <w:r w:rsidR="00291E1E" w:rsidRPr="00EB500F">
        <w:rPr>
          <w:rFonts w:ascii="Tahoma" w:hAnsi="Tahoma" w:cs="Tahoma"/>
        </w:rPr>
        <w:t>r</w:t>
      </w:r>
      <w:r w:rsidR="00291E1E" w:rsidRPr="00EB500F">
        <w:rPr>
          <w:rFonts w:ascii="Tahoma" w:hAnsi="Tahoma" w:cs="Tahoma"/>
        </w:rPr>
        <w:t>ing, information, and go</w:t>
      </w:r>
      <w:r w:rsidR="00291E1E" w:rsidRPr="00EB500F">
        <w:rPr>
          <w:rFonts w:ascii="Tahoma" w:hAnsi="Tahoma" w:cs="Tahoma"/>
        </w:rPr>
        <w:t>v</w:t>
      </w:r>
      <w:r w:rsidR="00291E1E" w:rsidRPr="00EB500F">
        <w:rPr>
          <w:rFonts w:ascii="Tahoma" w:hAnsi="Tahoma" w:cs="Tahoma"/>
        </w:rPr>
        <w:t xml:space="preserve">ernment, resulting in </w:t>
      </w:r>
      <w:r w:rsidR="00EB500F">
        <w:rPr>
          <w:rFonts w:ascii="Tahoma" w:hAnsi="Tahoma" w:cs="Tahoma"/>
        </w:rPr>
        <w:t>a</w:t>
      </w:r>
      <w:r w:rsidR="00EB500F">
        <w:rPr>
          <w:rFonts w:ascii="Tahoma" w:hAnsi="Tahoma" w:cs="Tahoma"/>
        </w:rPr>
        <w:t>v</w:t>
      </w:r>
      <w:r w:rsidR="00EB500F">
        <w:rPr>
          <w:rFonts w:ascii="Tahoma" w:hAnsi="Tahoma" w:cs="Tahoma"/>
        </w:rPr>
        <w:t xml:space="preserve">erage </w:t>
      </w:r>
      <w:r w:rsidR="00001A43">
        <w:rPr>
          <w:rFonts w:ascii="Tahoma" w:hAnsi="Tahoma" w:cs="Tahoma"/>
        </w:rPr>
        <w:t>monthly emplo</w:t>
      </w:r>
      <w:r w:rsidR="00001A43">
        <w:rPr>
          <w:rFonts w:ascii="Tahoma" w:hAnsi="Tahoma" w:cs="Tahoma"/>
        </w:rPr>
        <w:t>y</w:t>
      </w:r>
      <w:r w:rsidR="00001A43">
        <w:rPr>
          <w:rFonts w:ascii="Tahoma" w:hAnsi="Tahoma" w:cs="Tahoma"/>
        </w:rPr>
        <w:t>ment in</w:t>
      </w:r>
      <w:r w:rsidR="00EB500F">
        <w:rPr>
          <w:rFonts w:ascii="Tahoma" w:hAnsi="Tahoma" w:cs="Tahoma"/>
        </w:rPr>
        <w:t xml:space="preserve"> </w:t>
      </w:r>
      <w:r w:rsidR="00001A43">
        <w:rPr>
          <w:rFonts w:ascii="Tahoma" w:hAnsi="Tahoma" w:cs="Tahoma"/>
        </w:rPr>
        <w:t xml:space="preserve">in 2015 that </w:t>
      </w:r>
      <w:r w:rsidR="00845DB9">
        <w:rPr>
          <w:rFonts w:ascii="Tahoma" w:hAnsi="Tahoma" w:cs="Tahoma"/>
        </w:rPr>
        <w:t>was 1.8</w:t>
      </w:r>
      <w:r w:rsidR="00BC1B00">
        <w:rPr>
          <w:rFonts w:ascii="Tahoma" w:hAnsi="Tahoma" w:cs="Tahoma"/>
        </w:rPr>
        <w:t xml:space="preserve">% </w:t>
      </w:r>
      <w:r w:rsidR="00001A43">
        <w:rPr>
          <w:rFonts w:ascii="Tahoma" w:hAnsi="Tahoma" w:cs="Tahoma"/>
        </w:rPr>
        <w:t>higher than during the first six months in 2014</w:t>
      </w:r>
      <w:r w:rsidR="00847825">
        <w:rPr>
          <w:rFonts w:ascii="Tahoma" w:hAnsi="Tahoma" w:cs="Tahoma"/>
        </w:rPr>
        <w:t>, although</w:t>
      </w:r>
      <w:r w:rsidR="00001A43">
        <w:rPr>
          <w:rFonts w:ascii="Tahoma" w:hAnsi="Tahoma" w:cs="Tahoma"/>
        </w:rPr>
        <w:t xml:space="preserve"> </w:t>
      </w:r>
      <w:r w:rsidR="00847825">
        <w:rPr>
          <w:rFonts w:ascii="Tahoma" w:hAnsi="Tahoma" w:cs="Tahoma"/>
        </w:rPr>
        <w:t xml:space="preserve">the </w:t>
      </w:r>
      <w:r w:rsidR="00BC1B00">
        <w:rPr>
          <w:rFonts w:ascii="Tahoma" w:hAnsi="Tahoma" w:cs="Tahoma"/>
        </w:rPr>
        <w:t xml:space="preserve">annual </w:t>
      </w:r>
      <w:r w:rsidR="00001A43">
        <w:rPr>
          <w:rFonts w:ascii="Tahoma" w:hAnsi="Tahoma" w:cs="Tahoma"/>
        </w:rPr>
        <w:t>pace of</w:t>
      </w:r>
      <w:r w:rsidR="00BC1B00">
        <w:rPr>
          <w:rFonts w:ascii="Tahoma" w:hAnsi="Tahoma" w:cs="Tahoma"/>
        </w:rPr>
        <w:t xml:space="preserve"> employment</w:t>
      </w:r>
      <w:r w:rsidR="00001A43">
        <w:rPr>
          <w:rFonts w:ascii="Tahoma" w:hAnsi="Tahoma" w:cs="Tahoma"/>
        </w:rPr>
        <w:t xml:space="preserve"> growth </w:t>
      </w:r>
      <w:r w:rsidR="00BC1B00">
        <w:rPr>
          <w:rFonts w:ascii="Tahoma" w:hAnsi="Tahoma" w:cs="Tahoma"/>
        </w:rPr>
        <w:t xml:space="preserve">slowed </w:t>
      </w:r>
      <w:r w:rsidR="0038682A">
        <w:rPr>
          <w:rFonts w:ascii="Tahoma" w:hAnsi="Tahoma" w:cs="Tahoma"/>
        </w:rPr>
        <w:t xml:space="preserve">slightly </w:t>
      </w:r>
      <w:r w:rsidR="00BC1B00">
        <w:rPr>
          <w:rFonts w:ascii="Tahoma" w:hAnsi="Tahoma" w:cs="Tahoma"/>
        </w:rPr>
        <w:t>during the second quarter with</w:t>
      </w:r>
      <w:r w:rsidR="0038682A">
        <w:rPr>
          <w:rFonts w:ascii="Tahoma" w:hAnsi="Tahoma" w:cs="Tahoma"/>
        </w:rPr>
        <w:t xml:space="preserve"> June’s</w:t>
      </w:r>
      <w:r w:rsidR="00BC1B00">
        <w:rPr>
          <w:rFonts w:ascii="Tahoma" w:hAnsi="Tahoma" w:cs="Tahoma"/>
        </w:rPr>
        <w:t xml:space="preserve"> annual growth </w:t>
      </w:r>
      <w:r w:rsidR="0038682A">
        <w:rPr>
          <w:rFonts w:ascii="Tahoma" w:hAnsi="Tahoma" w:cs="Tahoma"/>
        </w:rPr>
        <w:t>rate equal to 1.2%</w:t>
      </w:r>
      <w:r w:rsidR="00BC1B00">
        <w:rPr>
          <w:rFonts w:ascii="Tahoma" w:hAnsi="Tahoma" w:cs="Tahoma"/>
        </w:rPr>
        <w:t xml:space="preserve">.   </w:t>
      </w:r>
      <w:r w:rsidR="00001A43">
        <w:rPr>
          <w:rFonts w:ascii="Tahoma" w:hAnsi="Tahoma" w:cs="Tahoma"/>
        </w:rPr>
        <w:t xml:space="preserve"> </w:t>
      </w:r>
    </w:p>
    <w:p w:rsidR="008D3CC5" w:rsidRPr="00EB500F" w:rsidRDefault="00847825" w:rsidP="00356047">
      <w:pPr>
        <w:tabs>
          <w:tab w:val="left" w:pos="0"/>
          <w:tab w:val="left" w:pos="540"/>
        </w:tabs>
        <w:spacing w:after="120"/>
        <w:jc w:val="both"/>
        <w:rPr>
          <w:rFonts w:ascii="Tahoma" w:hAnsi="Tahoma" w:cs="Tahoma"/>
        </w:rPr>
      </w:pPr>
      <w:r>
        <w:rPr>
          <w:rFonts w:ascii="Tahoma" w:hAnsi="Tahoma" w:cs="Tahoma"/>
        </w:rPr>
        <w:tab/>
      </w:r>
      <w:r w:rsidR="00291E1E" w:rsidRPr="00EB500F">
        <w:rPr>
          <w:rFonts w:ascii="Tahoma" w:hAnsi="Tahoma" w:cs="Tahoma"/>
        </w:rPr>
        <w:t xml:space="preserve">The fastest rate of </w:t>
      </w:r>
      <w:r w:rsidR="00356047">
        <w:rPr>
          <w:rFonts w:ascii="Tahoma" w:hAnsi="Tahoma" w:cs="Tahoma"/>
        </w:rPr>
        <w:t xml:space="preserve">employment </w:t>
      </w:r>
      <w:r w:rsidR="00291E1E" w:rsidRPr="00EB500F">
        <w:rPr>
          <w:rFonts w:ascii="Tahoma" w:hAnsi="Tahoma" w:cs="Tahoma"/>
        </w:rPr>
        <w:t>growth o</w:t>
      </w:r>
      <w:r w:rsidR="00291E1E" w:rsidRPr="00EB500F">
        <w:rPr>
          <w:rFonts w:ascii="Tahoma" w:hAnsi="Tahoma" w:cs="Tahoma"/>
        </w:rPr>
        <w:t>c</w:t>
      </w:r>
      <w:r w:rsidR="00291E1E" w:rsidRPr="00EB500F">
        <w:rPr>
          <w:rFonts w:ascii="Tahoma" w:hAnsi="Tahoma" w:cs="Tahoma"/>
        </w:rPr>
        <w:t>curred in professional and business services.  E</w:t>
      </w:r>
      <w:r w:rsidR="00291E1E" w:rsidRPr="00EB500F">
        <w:rPr>
          <w:rFonts w:ascii="Tahoma" w:hAnsi="Tahoma" w:cs="Tahoma"/>
        </w:rPr>
        <w:t>m</w:t>
      </w:r>
      <w:r w:rsidR="00291E1E" w:rsidRPr="00EB500F">
        <w:rPr>
          <w:rFonts w:ascii="Tahoma" w:hAnsi="Tahoma" w:cs="Tahoma"/>
        </w:rPr>
        <w:t xml:space="preserve">ployment in construction, financial activities, and </w:t>
      </w:r>
      <w:r w:rsidR="00291E1E" w:rsidRPr="00EB500F">
        <w:rPr>
          <w:rFonts w:ascii="Tahoma" w:hAnsi="Tahoma" w:cs="Tahoma"/>
        </w:rPr>
        <w:lastRenderedPageBreak/>
        <w:t>leisure and hosp</w:t>
      </w:r>
      <w:r w:rsidR="00291E1E" w:rsidRPr="00EB500F">
        <w:rPr>
          <w:rFonts w:ascii="Tahoma" w:hAnsi="Tahoma" w:cs="Tahoma"/>
        </w:rPr>
        <w:t>i</w:t>
      </w:r>
      <w:r w:rsidR="00291E1E" w:rsidRPr="00EB500F">
        <w:rPr>
          <w:rFonts w:ascii="Tahoma" w:hAnsi="Tahoma" w:cs="Tahoma"/>
        </w:rPr>
        <w:t xml:space="preserve">tality also grew at above </w:t>
      </w:r>
      <w:r w:rsidR="00C336F5">
        <w:rPr>
          <w:rFonts w:ascii="Tahoma" w:hAnsi="Tahoma" w:cs="Tahoma"/>
        </w:rPr>
        <w:t xml:space="preserve">the </w:t>
      </w:r>
      <w:r w:rsidR="00291E1E" w:rsidRPr="00EB500F">
        <w:rPr>
          <w:rFonts w:ascii="Tahoma" w:hAnsi="Tahoma" w:cs="Tahoma"/>
        </w:rPr>
        <w:t>average an</w:t>
      </w:r>
      <w:r w:rsidR="00356047">
        <w:rPr>
          <w:rFonts w:ascii="Tahoma" w:hAnsi="Tahoma" w:cs="Tahoma"/>
        </w:rPr>
        <w:t xml:space="preserve">nual </w:t>
      </w:r>
      <w:r w:rsidR="00291E1E" w:rsidRPr="00EB500F">
        <w:rPr>
          <w:rFonts w:ascii="Tahoma" w:hAnsi="Tahoma" w:cs="Tahoma"/>
        </w:rPr>
        <w:t>rate.  Trade emplo</w:t>
      </w:r>
      <w:r w:rsidR="00291E1E" w:rsidRPr="00EB500F">
        <w:rPr>
          <w:rFonts w:ascii="Tahoma" w:hAnsi="Tahoma" w:cs="Tahoma"/>
        </w:rPr>
        <w:t>y</w:t>
      </w:r>
      <w:r w:rsidR="00291E1E" w:rsidRPr="00EB500F">
        <w:rPr>
          <w:rFonts w:ascii="Tahoma" w:hAnsi="Tahoma" w:cs="Tahoma"/>
        </w:rPr>
        <w:t xml:space="preserve">ment </w:t>
      </w:r>
      <w:r w:rsidR="00677A45">
        <w:rPr>
          <w:rFonts w:ascii="Tahoma" w:hAnsi="Tahoma" w:cs="Tahoma"/>
        </w:rPr>
        <w:t xml:space="preserve">also </w:t>
      </w:r>
      <w:r w:rsidR="00EF1BAC">
        <w:rPr>
          <w:rFonts w:ascii="Tahoma" w:hAnsi="Tahoma" w:cs="Tahoma"/>
        </w:rPr>
        <w:t>i</w:t>
      </w:r>
      <w:r w:rsidR="00EF1BAC">
        <w:rPr>
          <w:rFonts w:ascii="Tahoma" w:hAnsi="Tahoma" w:cs="Tahoma"/>
        </w:rPr>
        <w:t>n</w:t>
      </w:r>
      <w:r w:rsidR="00EF1BAC">
        <w:rPr>
          <w:rFonts w:ascii="Tahoma" w:hAnsi="Tahoma" w:cs="Tahoma"/>
        </w:rPr>
        <w:t>creased</w:t>
      </w:r>
      <w:r w:rsidR="00291E1E" w:rsidRPr="00EB500F">
        <w:rPr>
          <w:rFonts w:ascii="Tahoma" w:hAnsi="Tahoma" w:cs="Tahoma"/>
        </w:rPr>
        <w:t xml:space="preserve"> with the opening of new retail stores in the area.</w:t>
      </w:r>
    </w:p>
    <w:p w:rsidR="008D3CC5" w:rsidRPr="00EB500F" w:rsidRDefault="008D3CC5" w:rsidP="00006F6F">
      <w:pPr>
        <w:tabs>
          <w:tab w:val="left" w:pos="0"/>
        </w:tabs>
        <w:spacing w:after="120"/>
        <w:jc w:val="both"/>
        <w:rPr>
          <w:rFonts w:ascii="Tahoma" w:hAnsi="Tahoma" w:cs="Tahoma"/>
        </w:rPr>
        <w:sectPr w:rsidR="008D3CC5" w:rsidRPr="00EB500F" w:rsidSect="008D3CC5">
          <w:type w:val="continuous"/>
          <w:pgSz w:w="12240" w:h="15840"/>
          <w:pgMar w:top="1440" w:right="1350" w:bottom="1440" w:left="2070" w:header="720" w:footer="720" w:gutter="0"/>
          <w:cols w:num="2" w:space="720"/>
          <w:docGrid w:linePitch="360"/>
        </w:sectPr>
      </w:pPr>
    </w:p>
    <w:p w:rsidR="00006F6F" w:rsidRPr="00356047" w:rsidRDefault="00006F6F" w:rsidP="00006F6F">
      <w:pPr>
        <w:tabs>
          <w:tab w:val="left" w:pos="0"/>
        </w:tabs>
        <w:spacing w:after="0"/>
        <w:jc w:val="both"/>
        <w:rPr>
          <w:rFonts w:ascii="Tahoma" w:hAnsi="Tahoma" w:cs="Tahoma"/>
        </w:rPr>
      </w:pPr>
      <w:r w:rsidRPr="00356047">
        <w:rPr>
          <w:rFonts w:ascii="Tahoma" w:hAnsi="Tahoma" w:cs="Tahoma"/>
          <w:noProof/>
        </w:rPr>
        <w:lastRenderedPageBreak/>
        <w:drawing>
          <wp:inline distT="0" distB="0" distL="0" distR="0" wp14:anchorId="2E58FD0C" wp14:editId="26F07859">
            <wp:extent cx="5596569" cy="2644048"/>
            <wp:effectExtent l="0" t="0" r="23495" b="234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6047" w:rsidRDefault="00006F6F" w:rsidP="00006F6F">
      <w:pPr>
        <w:tabs>
          <w:tab w:val="left" w:pos="0"/>
        </w:tabs>
        <w:spacing w:after="0"/>
        <w:rPr>
          <w:rFonts w:ascii="Tahoma" w:hAnsi="Tahoma" w:cs="Tahoma"/>
          <w:noProof/>
          <w:sz w:val="18"/>
          <w:szCs w:val="18"/>
        </w:rPr>
        <w:sectPr w:rsidR="00356047" w:rsidSect="003E33D6">
          <w:type w:val="continuous"/>
          <w:pgSz w:w="12240" w:h="15840"/>
          <w:pgMar w:top="1440" w:right="1350" w:bottom="1440" w:left="2070" w:header="720" w:footer="720" w:gutter="0"/>
          <w:cols w:space="720"/>
          <w:docGrid w:linePitch="360"/>
        </w:sectPr>
      </w:pPr>
      <w:r w:rsidRPr="00356047">
        <w:rPr>
          <w:rFonts w:ascii="Tahoma" w:hAnsi="Tahoma" w:cs="Tahoma"/>
          <w:noProof/>
          <w:sz w:val="18"/>
          <w:szCs w:val="18"/>
        </w:rPr>
        <w:t>Source:  U.S. Bureau of Labor Statistics</w:t>
      </w:r>
    </w:p>
    <w:p w:rsidR="00006F6F" w:rsidRPr="00356047" w:rsidRDefault="00006F6F" w:rsidP="00006F6F">
      <w:pPr>
        <w:tabs>
          <w:tab w:val="left" w:pos="0"/>
        </w:tabs>
        <w:spacing w:after="0"/>
        <w:rPr>
          <w:rFonts w:ascii="Tahoma" w:hAnsi="Tahoma" w:cs="Tahoma"/>
          <w:noProof/>
          <w:sz w:val="18"/>
          <w:szCs w:val="18"/>
        </w:rPr>
      </w:pPr>
    </w:p>
    <w:p w:rsidR="00415D00" w:rsidRPr="00356047" w:rsidRDefault="00415D00" w:rsidP="00006F6F">
      <w:pPr>
        <w:tabs>
          <w:tab w:val="left" w:pos="0"/>
        </w:tabs>
        <w:spacing w:after="0"/>
        <w:rPr>
          <w:rFonts w:ascii="Tahoma" w:hAnsi="Tahoma" w:cs="Tahoma"/>
          <w:noProof/>
        </w:rPr>
        <w:sectPr w:rsidR="00415D00" w:rsidRPr="00356047" w:rsidSect="003E33D6">
          <w:type w:val="continuous"/>
          <w:pgSz w:w="12240" w:h="15840"/>
          <w:pgMar w:top="1440" w:right="1350" w:bottom="1440" w:left="2070" w:header="720" w:footer="720" w:gutter="0"/>
          <w:cols w:space="720"/>
          <w:docGrid w:linePitch="360"/>
        </w:sectPr>
      </w:pPr>
    </w:p>
    <w:p w:rsidR="001305DC" w:rsidRPr="00356047" w:rsidRDefault="00356047" w:rsidP="008E56F0">
      <w:pPr>
        <w:tabs>
          <w:tab w:val="left" w:pos="0"/>
          <w:tab w:val="left" w:pos="540"/>
        </w:tabs>
        <w:spacing w:after="0"/>
        <w:jc w:val="both"/>
        <w:rPr>
          <w:rFonts w:ascii="Tahoma" w:hAnsi="Tahoma" w:cs="Tahoma"/>
          <w:noProof/>
        </w:rPr>
      </w:pPr>
      <w:r>
        <w:rPr>
          <w:rFonts w:ascii="Tahoma" w:hAnsi="Tahoma" w:cs="Tahoma"/>
        </w:rPr>
        <w:lastRenderedPageBreak/>
        <w:tab/>
      </w:r>
      <w:r w:rsidR="00291E1E" w:rsidRPr="00356047">
        <w:rPr>
          <w:rFonts w:ascii="Tahoma" w:hAnsi="Tahoma" w:cs="Tahoma"/>
        </w:rPr>
        <w:t>More precise measures of quarterly industry employment and average weekly wage per worker are reported for NAICS industries</w:t>
      </w:r>
      <w:r w:rsidR="00677A45">
        <w:rPr>
          <w:rFonts w:ascii="Tahoma" w:hAnsi="Tahoma" w:cs="Tahoma"/>
        </w:rPr>
        <w:t>.</w:t>
      </w:r>
      <w:r w:rsidR="00291E1E" w:rsidRPr="00356047">
        <w:rPr>
          <w:rFonts w:ascii="Tahoma" w:hAnsi="Tahoma" w:cs="Tahoma"/>
        </w:rPr>
        <w:t xml:space="preserve"> </w:t>
      </w:r>
      <w:r w:rsidR="002C685E" w:rsidRPr="00356047">
        <w:rPr>
          <w:rFonts w:ascii="Tahoma" w:hAnsi="Tahoma" w:cs="Tahoma"/>
          <w:noProof/>
        </w:rPr>
        <w:t xml:space="preserve">Figure </w:t>
      </w:r>
      <w:r w:rsidR="000B64EA" w:rsidRPr="00356047">
        <w:rPr>
          <w:rFonts w:ascii="Tahoma" w:hAnsi="Tahoma" w:cs="Tahoma"/>
          <w:noProof/>
        </w:rPr>
        <w:t>4</w:t>
      </w:r>
      <w:r w:rsidR="002C685E" w:rsidRPr="00356047">
        <w:rPr>
          <w:rFonts w:ascii="Tahoma" w:hAnsi="Tahoma" w:cs="Tahoma"/>
          <w:noProof/>
        </w:rPr>
        <w:t xml:space="preserve"> shows indexes of quarterly employment and average weekly wages for </w:t>
      </w:r>
      <w:r w:rsidR="00291E1E" w:rsidRPr="00356047">
        <w:rPr>
          <w:rFonts w:ascii="Tahoma" w:hAnsi="Tahoma" w:cs="Tahoma"/>
          <w:noProof/>
        </w:rPr>
        <w:t xml:space="preserve">Waco MSA nonfarm industries since 2010 </w:t>
      </w:r>
      <w:r w:rsidR="002C685E" w:rsidRPr="00356047">
        <w:rPr>
          <w:rFonts w:ascii="Tahoma" w:hAnsi="Tahoma" w:cs="Tahoma"/>
          <w:noProof/>
        </w:rPr>
        <w:t xml:space="preserve">based on 1st quarter 2010 = 100. </w:t>
      </w:r>
      <w:r w:rsidR="00291E1E" w:rsidRPr="00356047">
        <w:rPr>
          <w:rFonts w:ascii="Tahoma" w:hAnsi="Tahoma" w:cs="Tahoma"/>
          <w:noProof/>
        </w:rPr>
        <w:t xml:space="preserve"> </w:t>
      </w:r>
      <w:r w:rsidR="001305DC" w:rsidRPr="00356047">
        <w:rPr>
          <w:rFonts w:ascii="Tahoma" w:hAnsi="Tahoma" w:cs="Tahoma"/>
          <w:noProof/>
        </w:rPr>
        <w:t>In late 2014 the annual rate of increase in both</w:t>
      </w:r>
      <w:r w:rsidR="00847825">
        <w:rPr>
          <w:rFonts w:ascii="Tahoma" w:hAnsi="Tahoma" w:cs="Tahoma"/>
          <w:noProof/>
        </w:rPr>
        <w:t xml:space="preserve"> employment and wages increased. Monthly employment </w:t>
      </w:r>
      <w:r w:rsidR="008E56F0">
        <w:rPr>
          <w:rFonts w:ascii="Tahoma" w:hAnsi="Tahoma" w:cs="Tahoma"/>
          <w:noProof/>
        </w:rPr>
        <w:t xml:space="preserve">estimates </w:t>
      </w:r>
      <w:r w:rsidR="00847825">
        <w:rPr>
          <w:rFonts w:ascii="Tahoma" w:hAnsi="Tahoma" w:cs="Tahoma"/>
          <w:noProof/>
        </w:rPr>
        <w:t xml:space="preserve">and retail spending in the first half of 2015 continue to support projections of stronger growth in wage income over the next year.  </w:t>
      </w:r>
    </w:p>
    <w:p w:rsidR="000B64EA" w:rsidRPr="00356047" w:rsidRDefault="001305DC" w:rsidP="00627E57">
      <w:pPr>
        <w:tabs>
          <w:tab w:val="left" w:pos="0"/>
          <w:tab w:val="left" w:pos="540"/>
        </w:tabs>
        <w:spacing w:after="0"/>
        <w:jc w:val="both"/>
        <w:rPr>
          <w:rFonts w:ascii="Tahoma" w:eastAsia="Times New Roman" w:hAnsi="Tahoma" w:cs="Tahoma"/>
          <w:noProof/>
        </w:rPr>
      </w:pPr>
      <w:r w:rsidRPr="00356047">
        <w:rPr>
          <w:rFonts w:ascii="Tahoma" w:hAnsi="Tahoma" w:cs="Tahoma"/>
          <w:noProof/>
        </w:rPr>
        <w:tab/>
      </w:r>
      <w:r w:rsidR="00415D00" w:rsidRPr="00356047">
        <w:rPr>
          <w:rFonts w:ascii="Tahoma" w:eastAsia="Times New Roman" w:hAnsi="Tahoma" w:cs="Tahoma"/>
          <w:noProof/>
        </w:rPr>
        <w:t>Table 4 shows employment and mean and median annual</w:t>
      </w:r>
      <w:r w:rsidR="00627E57">
        <w:rPr>
          <w:rFonts w:ascii="Tahoma" w:eastAsia="Times New Roman" w:hAnsi="Tahoma" w:cs="Tahoma"/>
          <w:noProof/>
        </w:rPr>
        <w:t xml:space="preserve"> wage</w:t>
      </w:r>
      <w:r w:rsidR="00415D00" w:rsidRPr="00356047">
        <w:rPr>
          <w:rFonts w:ascii="Tahoma" w:eastAsia="Times New Roman" w:hAnsi="Tahoma" w:cs="Tahoma"/>
          <w:noProof/>
        </w:rPr>
        <w:t xml:space="preserve"> income among occupations in the Waco MSA economy based on the May 2014 survey by the U.S. Bureau of Labor Statistics.  </w:t>
      </w:r>
      <w:r w:rsidR="00F34CE6" w:rsidRPr="00356047">
        <w:rPr>
          <w:rFonts w:ascii="Tahoma" w:eastAsia="Times New Roman" w:hAnsi="Tahoma" w:cs="Tahoma"/>
          <w:noProof/>
        </w:rPr>
        <w:t>Growth in employment</w:t>
      </w:r>
      <w:r w:rsidR="00415D00" w:rsidRPr="00356047">
        <w:rPr>
          <w:rFonts w:ascii="Tahoma" w:eastAsia="Times New Roman" w:hAnsi="Tahoma" w:cs="Tahoma"/>
          <w:noProof/>
        </w:rPr>
        <w:t xml:space="preserve"> and wages are</w:t>
      </w:r>
      <w:r w:rsidR="00F34CE6" w:rsidRPr="00356047">
        <w:rPr>
          <w:rFonts w:ascii="Tahoma" w:eastAsia="Times New Roman" w:hAnsi="Tahoma" w:cs="Tahoma"/>
          <w:noProof/>
        </w:rPr>
        <w:t xml:space="preserve"> obviously </w:t>
      </w:r>
      <w:r w:rsidR="00415D00" w:rsidRPr="00356047">
        <w:rPr>
          <w:rFonts w:ascii="Tahoma" w:eastAsia="Times New Roman" w:hAnsi="Tahoma" w:cs="Tahoma"/>
          <w:noProof/>
        </w:rPr>
        <w:t>important</w:t>
      </w:r>
      <w:r w:rsidR="00F34CE6" w:rsidRPr="00356047">
        <w:rPr>
          <w:rFonts w:ascii="Tahoma" w:eastAsia="Times New Roman" w:hAnsi="Tahoma" w:cs="Tahoma"/>
          <w:noProof/>
        </w:rPr>
        <w:t xml:space="preserve"> measure</w:t>
      </w:r>
      <w:r w:rsidR="00415D00" w:rsidRPr="00356047">
        <w:rPr>
          <w:rFonts w:ascii="Tahoma" w:eastAsia="Times New Roman" w:hAnsi="Tahoma" w:cs="Tahoma"/>
          <w:noProof/>
        </w:rPr>
        <w:t>s</w:t>
      </w:r>
      <w:r w:rsidR="00F34CE6" w:rsidRPr="00356047">
        <w:rPr>
          <w:rFonts w:ascii="Tahoma" w:eastAsia="Times New Roman" w:hAnsi="Tahoma" w:cs="Tahoma"/>
          <w:noProof/>
        </w:rPr>
        <w:t xml:space="preserve"> of improvement in the Waco economy</w:t>
      </w:r>
      <w:r w:rsidR="00415D00" w:rsidRPr="00356047">
        <w:rPr>
          <w:rFonts w:ascii="Tahoma" w:eastAsia="Times New Roman" w:hAnsi="Tahoma" w:cs="Tahoma"/>
          <w:noProof/>
        </w:rPr>
        <w:t xml:space="preserve"> that reflect both gains in labor productivity of existing workers and the growth of </w:t>
      </w:r>
      <w:r w:rsidR="00F34CE6" w:rsidRPr="00356047">
        <w:rPr>
          <w:rFonts w:ascii="Tahoma" w:eastAsia="Times New Roman" w:hAnsi="Tahoma" w:cs="Tahoma"/>
          <w:noProof/>
        </w:rPr>
        <w:t xml:space="preserve"> </w:t>
      </w:r>
      <w:r w:rsidR="00415D00" w:rsidRPr="00356047">
        <w:rPr>
          <w:rFonts w:ascii="Tahoma" w:eastAsia="Times New Roman" w:hAnsi="Tahoma" w:cs="Tahoma"/>
          <w:noProof/>
        </w:rPr>
        <w:t>higher paying occupations in the area.</w:t>
      </w:r>
      <w:r w:rsidR="00F34CE6" w:rsidRPr="00356047">
        <w:rPr>
          <w:rFonts w:ascii="Tahoma" w:eastAsia="Times New Roman" w:hAnsi="Tahoma" w:cs="Tahoma"/>
          <w:noProof/>
        </w:rPr>
        <w:t xml:space="preserve"> </w:t>
      </w:r>
      <w:r w:rsidR="000B64EA" w:rsidRPr="00356047">
        <w:rPr>
          <w:rFonts w:ascii="Tahoma" w:eastAsia="Times New Roman" w:hAnsi="Tahoma" w:cs="Tahoma"/>
          <w:noProof/>
        </w:rPr>
        <w:t xml:space="preserve">The location quotient for each major </w:t>
      </w:r>
      <w:r w:rsidR="000B64EA" w:rsidRPr="00356047">
        <w:rPr>
          <w:rFonts w:ascii="Tahoma" w:eastAsia="Times New Roman" w:hAnsi="Tahoma" w:cs="Tahoma"/>
          <w:noProof/>
        </w:rPr>
        <w:lastRenderedPageBreak/>
        <w:t>occupational category</w:t>
      </w:r>
      <w:r w:rsidR="00627E57">
        <w:rPr>
          <w:rFonts w:ascii="Tahoma" w:eastAsia="Times New Roman" w:hAnsi="Tahoma" w:cs="Tahoma"/>
          <w:noProof/>
        </w:rPr>
        <w:t>, equal to the</w:t>
      </w:r>
      <w:r w:rsidR="000B64EA" w:rsidRPr="00356047">
        <w:rPr>
          <w:rFonts w:ascii="Tahoma" w:eastAsia="Times New Roman" w:hAnsi="Tahoma" w:cs="Tahoma"/>
          <w:noProof/>
        </w:rPr>
        <w:t xml:space="preserve"> the percent of employment locally divided by the percent in the same occupation in </w:t>
      </w:r>
      <w:r w:rsidR="00627E57">
        <w:rPr>
          <w:rFonts w:ascii="Tahoma" w:eastAsia="Times New Roman" w:hAnsi="Tahoma" w:cs="Tahoma"/>
          <w:noProof/>
        </w:rPr>
        <w:t>nationwide, is also shown</w:t>
      </w:r>
      <w:r w:rsidR="000B64EA" w:rsidRPr="00356047">
        <w:rPr>
          <w:rFonts w:ascii="Tahoma" w:eastAsia="Times New Roman" w:hAnsi="Tahoma" w:cs="Tahoma"/>
          <w:noProof/>
        </w:rPr>
        <w:t xml:space="preserve">.  A higher relative frequency of jobs in occupational categories paying higher incomes, such as top level management, are </w:t>
      </w:r>
      <w:r w:rsidR="00415D00" w:rsidRPr="00356047">
        <w:rPr>
          <w:rFonts w:ascii="Tahoma" w:eastAsia="Times New Roman" w:hAnsi="Tahoma" w:cs="Tahoma"/>
          <w:noProof/>
        </w:rPr>
        <w:t xml:space="preserve">largely </w:t>
      </w:r>
      <w:r w:rsidR="000B64EA" w:rsidRPr="00356047">
        <w:rPr>
          <w:rFonts w:ascii="Tahoma" w:eastAsia="Times New Roman" w:hAnsi="Tahoma" w:cs="Tahoma"/>
          <w:noProof/>
        </w:rPr>
        <w:t xml:space="preserve">responsible for the variation in average wage incomes among </w:t>
      </w:r>
      <w:r w:rsidR="00F233A4">
        <w:rPr>
          <w:rFonts w:ascii="Tahoma" w:eastAsia="Times New Roman" w:hAnsi="Tahoma" w:cs="Tahoma"/>
          <w:noProof/>
        </w:rPr>
        <w:t>metro areas.</w:t>
      </w:r>
      <w:r w:rsidR="000B64EA" w:rsidRPr="00356047">
        <w:rPr>
          <w:rFonts w:ascii="Tahoma" w:eastAsia="Times New Roman" w:hAnsi="Tahoma" w:cs="Tahoma"/>
          <w:noProof/>
        </w:rPr>
        <w:t xml:space="preserve"> </w:t>
      </w:r>
    </w:p>
    <w:p w:rsidR="000B64EA" w:rsidRPr="00356047" w:rsidRDefault="000B64EA" w:rsidP="00F233A4">
      <w:pPr>
        <w:tabs>
          <w:tab w:val="left" w:pos="0"/>
          <w:tab w:val="left" w:pos="540"/>
        </w:tabs>
        <w:spacing w:after="0"/>
        <w:jc w:val="both"/>
        <w:rPr>
          <w:rFonts w:ascii="Tahoma" w:eastAsia="Times New Roman" w:hAnsi="Tahoma" w:cs="Tahoma"/>
          <w:noProof/>
        </w:rPr>
      </w:pPr>
      <w:r w:rsidRPr="00356047">
        <w:rPr>
          <w:rFonts w:ascii="Tahoma" w:eastAsia="Times New Roman" w:hAnsi="Tahoma" w:cs="Tahoma"/>
          <w:noProof/>
        </w:rPr>
        <w:tab/>
        <w:t xml:space="preserve">Among Waco MSA occupations with a location quotient above one, only </w:t>
      </w:r>
      <w:r w:rsidR="00627E57">
        <w:rPr>
          <w:rFonts w:ascii="Tahoma" w:eastAsia="Times New Roman" w:hAnsi="Tahoma" w:cs="Tahoma"/>
          <w:noProof/>
        </w:rPr>
        <w:t xml:space="preserve">two catagories, namely </w:t>
      </w:r>
      <w:r w:rsidRPr="00356047">
        <w:rPr>
          <w:rFonts w:ascii="Tahoma" w:eastAsia="Times New Roman" w:hAnsi="Tahoma" w:cs="Tahoma"/>
          <w:noProof/>
        </w:rPr>
        <w:t xml:space="preserve">education, training, and library </w:t>
      </w:r>
      <w:r w:rsidR="00627E57">
        <w:rPr>
          <w:rFonts w:ascii="Tahoma" w:eastAsia="Times New Roman" w:hAnsi="Tahoma" w:cs="Tahoma"/>
          <w:noProof/>
        </w:rPr>
        <w:t xml:space="preserve">workers </w:t>
      </w:r>
      <w:r w:rsidRPr="00356047">
        <w:rPr>
          <w:rFonts w:ascii="Tahoma" w:eastAsia="Times New Roman" w:hAnsi="Tahoma" w:cs="Tahoma"/>
          <w:noProof/>
        </w:rPr>
        <w:t>and installation, maintenance, and repair workers</w:t>
      </w:r>
      <w:r w:rsidR="00627E57">
        <w:rPr>
          <w:rFonts w:ascii="Tahoma" w:eastAsia="Times New Roman" w:hAnsi="Tahoma" w:cs="Tahoma"/>
          <w:noProof/>
        </w:rPr>
        <w:t>,</w:t>
      </w:r>
      <w:r w:rsidRPr="00356047">
        <w:rPr>
          <w:rFonts w:ascii="Tahoma" w:eastAsia="Times New Roman" w:hAnsi="Tahoma" w:cs="Tahoma"/>
          <w:noProof/>
        </w:rPr>
        <w:t xml:space="preserve"> received average incomes that exceeded the </w:t>
      </w:r>
      <w:r w:rsidR="008E56F0">
        <w:rPr>
          <w:rFonts w:ascii="Tahoma" w:eastAsia="Times New Roman" w:hAnsi="Tahoma" w:cs="Tahoma"/>
          <w:noProof/>
        </w:rPr>
        <w:t xml:space="preserve">total </w:t>
      </w:r>
      <w:r w:rsidRPr="00356047">
        <w:rPr>
          <w:rFonts w:ascii="Tahoma" w:eastAsia="Times New Roman" w:hAnsi="Tahoma" w:cs="Tahoma"/>
          <w:noProof/>
        </w:rPr>
        <w:t>a</w:t>
      </w:r>
      <w:r w:rsidR="00627E57">
        <w:rPr>
          <w:rFonts w:ascii="Tahoma" w:eastAsia="Times New Roman" w:hAnsi="Tahoma" w:cs="Tahoma"/>
          <w:noProof/>
        </w:rPr>
        <w:t xml:space="preserve">rea average. </w:t>
      </w:r>
      <w:r w:rsidRPr="00356047">
        <w:rPr>
          <w:rFonts w:ascii="Tahoma" w:eastAsia="Times New Roman" w:hAnsi="Tahoma" w:cs="Tahoma"/>
          <w:noProof/>
        </w:rPr>
        <w:t xml:space="preserve">Several occupations with high location quotients </w:t>
      </w:r>
      <w:r w:rsidR="00F233A4">
        <w:rPr>
          <w:rFonts w:ascii="Tahoma" w:eastAsia="Times New Roman" w:hAnsi="Tahoma" w:cs="Tahoma"/>
          <w:noProof/>
        </w:rPr>
        <w:t>pay below</w:t>
      </w:r>
      <w:r w:rsidRPr="00356047">
        <w:rPr>
          <w:rFonts w:ascii="Tahoma" w:eastAsia="Times New Roman" w:hAnsi="Tahoma" w:cs="Tahoma"/>
          <w:noProof/>
        </w:rPr>
        <w:t xml:space="preserve"> </w:t>
      </w:r>
      <w:r w:rsidR="00F233A4">
        <w:rPr>
          <w:rFonts w:ascii="Tahoma" w:eastAsia="Times New Roman" w:hAnsi="Tahoma" w:cs="Tahoma"/>
          <w:noProof/>
        </w:rPr>
        <w:t>average</w:t>
      </w:r>
      <w:r w:rsidRPr="00356047">
        <w:rPr>
          <w:rFonts w:ascii="Tahoma" w:eastAsia="Times New Roman" w:hAnsi="Tahoma" w:cs="Tahoma"/>
          <w:noProof/>
        </w:rPr>
        <w:t xml:space="preserve"> wage income</w:t>
      </w:r>
      <w:r w:rsidR="00627E57">
        <w:rPr>
          <w:rFonts w:ascii="Tahoma" w:eastAsia="Times New Roman" w:hAnsi="Tahoma" w:cs="Tahoma"/>
          <w:noProof/>
        </w:rPr>
        <w:t>s</w:t>
      </w:r>
      <w:r w:rsidRPr="00356047">
        <w:rPr>
          <w:rFonts w:ascii="Tahoma" w:eastAsia="Times New Roman" w:hAnsi="Tahoma" w:cs="Tahoma"/>
          <w:noProof/>
        </w:rPr>
        <w:t xml:space="preserve"> </w:t>
      </w:r>
      <w:r w:rsidR="008E56F0">
        <w:rPr>
          <w:rFonts w:ascii="Tahoma" w:eastAsia="Times New Roman" w:hAnsi="Tahoma" w:cs="Tahoma"/>
          <w:noProof/>
        </w:rPr>
        <w:t xml:space="preserve">and </w:t>
      </w:r>
      <w:r w:rsidRPr="00356047">
        <w:rPr>
          <w:rFonts w:ascii="Tahoma" w:eastAsia="Times New Roman" w:hAnsi="Tahoma" w:cs="Tahoma"/>
          <w:noProof/>
        </w:rPr>
        <w:t>also have relatively little variance in income</w:t>
      </w:r>
      <w:r w:rsidR="00627E57">
        <w:rPr>
          <w:rFonts w:ascii="Tahoma" w:eastAsia="Times New Roman" w:hAnsi="Tahoma" w:cs="Tahoma"/>
          <w:noProof/>
        </w:rPr>
        <w:t xml:space="preserve"> received</w:t>
      </w:r>
      <w:r w:rsidRPr="00356047">
        <w:rPr>
          <w:rFonts w:ascii="Tahoma" w:eastAsia="Times New Roman" w:hAnsi="Tahoma" w:cs="Tahoma"/>
          <w:noProof/>
        </w:rPr>
        <w:t xml:space="preserve"> within the </w:t>
      </w:r>
      <w:r w:rsidR="008E56F0">
        <w:rPr>
          <w:rFonts w:ascii="Tahoma" w:eastAsia="Times New Roman" w:hAnsi="Tahoma" w:cs="Tahoma"/>
          <w:noProof/>
        </w:rPr>
        <w:t>major occupation</w:t>
      </w:r>
      <w:r w:rsidRPr="00356047">
        <w:rPr>
          <w:rFonts w:ascii="Tahoma" w:eastAsia="Times New Roman" w:hAnsi="Tahoma" w:cs="Tahoma"/>
          <w:noProof/>
        </w:rPr>
        <w:t xml:space="preserve"> category (shown in columns 4 and 5). </w:t>
      </w:r>
      <w:r w:rsidR="00A71D1E" w:rsidRPr="00356047">
        <w:rPr>
          <w:rFonts w:ascii="Tahoma" w:eastAsia="Times New Roman" w:hAnsi="Tahoma" w:cs="Tahoma"/>
          <w:noProof/>
        </w:rPr>
        <w:t xml:space="preserve"> More variability occurs in some occupations, such in legal, healthc</w:t>
      </w:r>
      <w:r w:rsidR="00F233A4">
        <w:rPr>
          <w:rFonts w:ascii="Tahoma" w:eastAsia="Times New Roman" w:hAnsi="Tahoma" w:cs="Tahoma"/>
          <w:noProof/>
        </w:rPr>
        <w:t>are, and education, that reward</w:t>
      </w:r>
      <w:r w:rsidR="00627E57">
        <w:rPr>
          <w:rFonts w:ascii="Tahoma" w:eastAsia="Times New Roman" w:hAnsi="Tahoma" w:cs="Tahoma"/>
          <w:noProof/>
        </w:rPr>
        <w:t xml:space="preserve"> gains in </w:t>
      </w:r>
      <w:r w:rsidR="00A71D1E" w:rsidRPr="00356047">
        <w:rPr>
          <w:rFonts w:ascii="Tahoma" w:eastAsia="Times New Roman" w:hAnsi="Tahoma" w:cs="Tahoma"/>
          <w:noProof/>
        </w:rPr>
        <w:t xml:space="preserve"> productivity</w:t>
      </w:r>
      <w:r w:rsidR="00F233A4">
        <w:rPr>
          <w:rFonts w:ascii="Tahoma" w:eastAsia="Times New Roman" w:hAnsi="Tahoma" w:cs="Tahoma"/>
          <w:noProof/>
        </w:rPr>
        <w:t xml:space="preserve"> </w:t>
      </w:r>
      <w:r w:rsidR="00627E57">
        <w:rPr>
          <w:rFonts w:ascii="Tahoma" w:eastAsia="Times New Roman" w:hAnsi="Tahoma" w:cs="Tahoma"/>
          <w:noProof/>
        </w:rPr>
        <w:t xml:space="preserve">and </w:t>
      </w:r>
      <w:r w:rsidR="00A71D1E" w:rsidRPr="00356047">
        <w:rPr>
          <w:rFonts w:ascii="Tahoma" w:eastAsia="Times New Roman" w:hAnsi="Tahoma" w:cs="Tahoma"/>
          <w:noProof/>
        </w:rPr>
        <w:t xml:space="preserve">experience </w:t>
      </w:r>
      <w:r w:rsidR="00BE4DB8">
        <w:rPr>
          <w:rFonts w:ascii="Tahoma" w:eastAsia="Times New Roman" w:hAnsi="Tahoma" w:cs="Tahoma"/>
          <w:noProof/>
        </w:rPr>
        <w:t>that generate</w:t>
      </w:r>
      <w:r w:rsidR="00A71D1E" w:rsidRPr="00356047">
        <w:rPr>
          <w:rFonts w:ascii="Tahoma" w:eastAsia="Times New Roman" w:hAnsi="Tahoma" w:cs="Tahoma"/>
          <w:noProof/>
        </w:rPr>
        <w:t xml:space="preserve"> </w:t>
      </w:r>
      <w:r w:rsidR="00C336F5">
        <w:rPr>
          <w:rFonts w:ascii="Tahoma" w:eastAsia="Times New Roman" w:hAnsi="Tahoma" w:cs="Tahoma"/>
          <w:noProof/>
        </w:rPr>
        <w:t xml:space="preserve">a </w:t>
      </w:r>
      <w:r w:rsidR="00A71D1E" w:rsidRPr="00356047">
        <w:rPr>
          <w:rFonts w:ascii="Tahoma" w:eastAsia="Times New Roman" w:hAnsi="Tahoma" w:cs="Tahoma"/>
          <w:noProof/>
        </w:rPr>
        <w:t xml:space="preserve">mean wage income that </w:t>
      </w:r>
      <w:r w:rsidR="00C336F5">
        <w:rPr>
          <w:rFonts w:ascii="Tahoma" w:eastAsia="Times New Roman" w:hAnsi="Tahoma" w:cs="Tahoma"/>
          <w:noProof/>
        </w:rPr>
        <w:t>is</w:t>
      </w:r>
      <w:r w:rsidR="00A71D1E" w:rsidRPr="00356047">
        <w:rPr>
          <w:rFonts w:ascii="Tahoma" w:eastAsia="Times New Roman" w:hAnsi="Tahoma" w:cs="Tahoma"/>
          <w:noProof/>
        </w:rPr>
        <w:t xml:space="preserve"> well above the median.</w:t>
      </w:r>
    </w:p>
    <w:p w:rsidR="000B64EA" w:rsidRPr="000B64EA" w:rsidRDefault="000B64EA" w:rsidP="001305DC">
      <w:pPr>
        <w:tabs>
          <w:tab w:val="left" w:pos="0"/>
        </w:tabs>
        <w:spacing w:after="0"/>
        <w:jc w:val="both"/>
        <w:rPr>
          <w:rFonts w:ascii="Tahoma" w:eastAsia="Times New Roman" w:hAnsi="Tahoma" w:cs="Tahoma"/>
          <w:noProof/>
          <w:sz w:val="24"/>
          <w:szCs w:val="24"/>
        </w:rPr>
        <w:sectPr w:rsidR="000B64EA" w:rsidRPr="000B64EA" w:rsidSect="000B64EA">
          <w:type w:val="continuous"/>
          <w:pgSz w:w="12240" w:h="15840"/>
          <w:pgMar w:top="1440" w:right="1350" w:bottom="1440" w:left="2070" w:header="720" w:footer="720" w:gutter="0"/>
          <w:cols w:num="2" w:space="720"/>
          <w:docGrid w:linePitch="360"/>
        </w:sectPr>
      </w:pPr>
    </w:p>
    <w:p w:rsidR="003D5175" w:rsidRPr="009E5BF6" w:rsidRDefault="003D5175" w:rsidP="003D5175">
      <w:pPr>
        <w:spacing w:before="120" w:after="0"/>
        <w:ind w:right="-86"/>
        <w:jc w:val="center"/>
        <w:rPr>
          <w:rFonts w:ascii="Tahoma" w:hAnsi="Tahoma" w:cs="Tahoma"/>
        </w:rPr>
      </w:pPr>
      <w:r w:rsidRPr="009E5BF6">
        <w:rPr>
          <w:rFonts w:ascii="Tahoma" w:hAnsi="Tahoma" w:cs="Tahoma"/>
        </w:rPr>
        <w:lastRenderedPageBreak/>
        <w:t>Table 4</w:t>
      </w:r>
    </w:p>
    <w:p w:rsidR="003D5175" w:rsidRPr="009E5BF6" w:rsidRDefault="003D5175" w:rsidP="003D5175">
      <w:pPr>
        <w:tabs>
          <w:tab w:val="left" w:pos="0"/>
        </w:tabs>
        <w:spacing w:after="120"/>
        <w:jc w:val="center"/>
        <w:rPr>
          <w:rFonts w:ascii="Tahoma" w:hAnsi="Tahoma" w:cs="Tahoma"/>
        </w:rPr>
      </w:pPr>
      <w:r w:rsidRPr="009E5BF6">
        <w:rPr>
          <w:rFonts w:ascii="Tahoma" w:hAnsi="Tahoma" w:cs="Tahoma"/>
        </w:rPr>
        <w:t xml:space="preserve">Waco MSA Employment and Annual Income in Occupations in May 2014 </w:t>
      </w:r>
    </w:p>
    <w:tbl>
      <w:tblPr>
        <w:tblW w:w="9036" w:type="dxa"/>
        <w:tblLook w:val="04A0" w:firstRow="1" w:lastRow="0" w:firstColumn="1" w:lastColumn="0" w:noHBand="0" w:noVBand="1"/>
      </w:tblPr>
      <w:tblGrid>
        <w:gridCol w:w="3537"/>
        <w:gridCol w:w="1159"/>
        <w:gridCol w:w="1124"/>
        <w:gridCol w:w="1146"/>
        <w:gridCol w:w="929"/>
        <w:gridCol w:w="1141"/>
      </w:tblGrid>
      <w:tr w:rsidR="003D5175" w:rsidRPr="009E5BF6" w:rsidTr="00E84852">
        <w:trPr>
          <w:trHeight w:val="300"/>
        </w:trPr>
        <w:tc>
          <w:tcPr>
            <w:tcW w:w="3550" w:type="dxa"/>
            <w:tcBorders>
              <w:top w:val="single" w:sz="4" w:space="0" w:color="auto"/>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rPr>
                <w:rFonts w:ascii="Tahoma" w:eastAsia="Times New Roman" w:hAnsi="Tahoma" w:cs="Tahoma"/>
                <w:color w:val="000000"/>
              </w:rPr>
            </w:pPr>
          </w:p>
        </w:tc>
        <w:tc>
          <w:tcPr>
            <w:tcW w:w="1148" w:type="dxa"/>
            <w:tcBorders>
              <w:top w:val="single" w:sz="4" w:space="0" w:color="auto"/>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 xml:space="preserve">Total </w:t>
            </w:r>
          </w:p>
        </w:tc>
        <w:tc>
          <w:tcPr>
            <w:tcW w:w="1113" w:type="dxa"/>
            <w:tcBorders>
              <w:top w:val="single" w:sz="4" w:space="0" w:color="auto"/>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Location</w:t>
            </w:r>
          </w:p>
        </w:tc>
        <w:tc>
          <w:tcPr>
            <w:tcW w:w="1149" w:type="dxa"/>
            <w:tcBorders>
              <w:top w:val="single" w:sz="4" w:space="0" w:color="auto"/>
              <w:left w:val="nil"/>
              <w:bottom w:val="nil"/>
              <w:right w:val="single" w:sz="4" w:space="0" w:color="auto"/>
            </w:tcBorders>
            <w:shd w:val="clear" w:color="auto" w:fill="auto"/>
            <w:noWrap/>
            <w:vAlign w:val="bottom"/>
            <w:hideMark/>
          </w:tcPr>
          <w:p w:rsidR="003D5175" w:rsidRPr="009E5BF6" w:rsidRDefault="003D5175" w:rsidP="00722661">
            <w:pPr>
              <w:spacing w:after="0" w:line="240" w:lineRule="auto"/>
              <w:jc w:val="center"/>
              <w:rPr>
                <w:rFonts w:ascii="Tahoma" w:eastAsia="Times New Roman" w:hAnsi="Tahoma" w:cs="Tahoma"/>
                <w:color w:val="000000"/>
              </w:rPr>
            </w:pPr>
          </w:p>
        </w:tc>
        <w:tc>
          <w:tcPr>
            <w:tcW w:w="932" w:type="dxa"/>
            <w:tcBorders>
              <w:top w:val="single" w:sz="4" w:space="0" w:color="auto"/>
              <w:left w:val="nil"/>
              <w:bottom w:val="nil"/>
              <w:right w:val="single" w:sz="4" w:space="0" w:color="auto"/>
            </w:tcBorders>
            <w:shd w:val="clear" w:color="auto" w:fill="auto"/>
            <w:noWrap/>
            <w:vAlign w:val="bottom"/>
            <w:hideMark/>
          </w:tcPr>
          <w:p w:rsidR="003D5175" w:rsidRPr="009E5BF6" w:rsidRDefault="00E84852" w:rsidP="00E84852">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 xml:space="preserve"> Inc.</w:t>
            </w:r>
            <w:r w:rsidR="003D5175" w:rsidRPr="009E5BF6">
              <w:rPr>
                <w:rFonts w:ascii="Tahoma" w:eastAsia="Times New Roman" w:hAnsi="Tahoma" w:cs="Tahoma"/>
                <w:color w:val="000000"/>
              </w:rPr>
              <w:t xml:space="preserve"> </w:t>
            </w:r>
          </w:p>
        </w:tc>
        <w:tc>
          <w:tcPr>
            <w:tcW w:w="1144" w:type="dxa"/>
            <w:tcBorders>
              <w:top w:val="single" w:sz="4" w:space="0" w:color="auto"/>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p>
        </w:tc>
      </w:tr>
      <w:tr w:rsidR="003D5175" w:rsidRPr="009E5BF6" w:rsidTr="00E84852">
        <w:trPr>
          <w:trHeight w:val="342"/>
        </w:trPr>
        <w:tc>
          <w:tcPr>
            <w:tcW w:w="3550" w:type="dxa"/>
            <w:tcBorders>
              <w:top w:val="nil"/>
              <w:left w:val="single" w:sz="4" w:space="0" w:color="auto"/>
              <w:bottom w:val="single" w:sz="4" w:space="0" w:color="auto"/>
              <w:right w:val="nil"/>
            </w:tcBorders>
            <w:shd w:val="clear" w:color="auto" w:fill="auto"/>
            <w:noWrap/>
            <w:vAlign w:val="bottom"/>
            <w:hideMark/>
          </w:tcPr>
          <w:p w:rsidR="003D5175" w:rsidRPr="009E5BF6" w:rsidRDefault="003D5175" w:rsidP="00704169">
            <w:pPr>
              <w:spacing w:after="0" w:line="240" w:lineRule="auto"/>
              <w:rPr>
                <w:rFonts w:ascii="Tahoma" w:eastAsia="Times New Roman" w:hAnsi="Tahoma" w:cs="Tahoma"/>
                <w:color w:val="000000"/>
              </w:rPr>
            </w:pPr>
            <w:r w:rsidRPr="009E5BF6">
              <w:rPr>
                <w:rFonts w:ascii="Tahoma" w:eastAsia="Times New Roman" w:hAnsi="Tahoma" w:cs="Tahoma"/>
                <w:color w:val="000000"/>
              </w:rPr>
              <w:t>      Occupation Category</w:t>
            </w:r>
          </w:p>
        </w:tc>
        <w:tc>
          <w:tcPr>
            <w:tcW w:w="1148" w:type="dxa"/>
            <w:tcBorders>
              <w:top w:val="nil"/>
              <w:left w:val="single" w:sz="4" w:space="0" w:color="auto"/>
              <w:bottom w:val="single" w:sz="4" w:space="0" w:color="auto"/>
              <w:right w:val="nil"/>
            </w:tcBorders>
            <w:shd w:val="clear" w:color="auto" w:fill="auto"/>
            <w:noWrap/>
            <w:vAlign w:val="bottom"/>
            <w:hideMark/>
          </w:tcPr>
          <w:p w:rsidR="003D5175" w:rsidRPr="009E5BF6" w:rsidRDefault="003D5175" w:rsidP="00722661">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E</w:t>
            </w:r>
            <w:r w:rsidRPr="009E5BF6">
              <w:rPr>
                <w:rFonts w:ascii="Tahoma" w:eastAsia="Times New Roman" w:hAnsi="Tahoma" w:cs="Tahoma"/>
                <w:color w:val="000000"/>
              </w:rPr>
              <w:t>m</w:t>
            </w:r>
            <w:r w:rsidRPr="009E5BF6">
              <w:rPr>
                <w:rFonts w:ascii="Tahoma" w:eastAsia="Times New Roman" w:hAnsi="Tahoma" w:cs="Tahoma"/>
                <w:color w:val="000000"/>
              </w:rPr>
              <w:t>ploy</w:t>
            </w:r>
            <w:r w:rsidR="00722661" w:rsidRPr="009E5BF6">
              <w:rPr>
                <w:rFonts w:ascii="Tahoma" w:eastAsia="Times New Roman" w:hAnsi="Tahoma" w:cs="Tahoma"/>
                <w:color w:val="000000"/>
              </w:rPr>
              <w:t>ed</w:t>
            </w: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vertAlign w:val="superscript"/>
              </w:rPr>
            </w:pPr>
            <w:r w:rsidRPr="009E5BF6">
              <w:rPr>
                <w:rFonts w:ascii="Tahoma" w:eastAsia="Times New Roman" w:hAnsi="Tahoma" w:cs="Tahoma"/>
                <w:color w:val="000000"/>
              </w:rPr>
              <w:t>Qu</w:t>
            </w:r>
            <w:r w:rsidRPr="009E5BF6">
              <w:rPr>
                <w:rFonts w:ascii="Tahoma" w:eastAsia="Times New Roman" w:hAnsi="Tahoma" w:cs="Tahoma"/>
                <w:color w:val="000000"/>
              </w:rPr>
              <w:t>o</w:t>
            </w:r>
            <w:r w:rsidRPr="009E5BF6">
              <w:rPr>
                <w:rFonts w:ascii="Tahoma" w:eastAsia="Times New Roman" w:hAnsi="Tahoma" w:cs="Tahoma"/>
                <w:color w:val="000000"/>
              </w:rPr>
              <w:t>tient</w:t>
            </w:r>
            <w:r w:rsidRPr="009E5BF6">
              <w:rPr>
                <w:rFonts w:ascii="Tahoma" w:eastAsia="Times New Roman" w:hAnsi="Tahoma" w:cs="Tahoma"/>
                <w:color w:val="000000"/>
                <w:vertAlign w:val="superscript"/>
              </w:rPr>
              <w:t>1</w:t>
            </w:r>
          </w:p>
        </w:tc>
        <w:tc>
          <w:tcPr>
            <w:tcW w:w="1149" w:type="dxa"/>
            <w:tcBorders>
              <w:top w:val="nil"/>
              <w:left w:val="nil"/>
              <w:bottom w:val="single" w:sz="4" w:space="0" w:color="auto"/>
              <w:right w:val="single" w:sz="4" w:space="0" w:color="auto"/>
            </w:tcBorders>
            <w:shd w:val="clear" w:color="auto" w:fill="auto"/>
            <w:noWrap/>
            <w:vAlign w:val="bottom"/>
            <w:hideMark/>
          </w:tcPr>
          <w:p w:rsidR="003D5175" w:rsidRPr="009E5BF6" w:rsidRDefault="00E84852" w:rsidP="00E84852">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 xml:space="preserve">Annual $ </w:t>
            </w:r>
            <w:r w:rsidR="003D5175" w:rsidRPr="009E5BF6">
              <w:rPr>
                <w:rFonts w:ascii="Tahoma" w:eastAsia="Times New Roman" w:hAnsi="Tahoma" w:cs="Tahoma"/>
                <w:color w:val="000000"/>
              </w:rPr>
              <w:t>Mean</w:t>
            </w:r>
          </w:p>
        </w:tc>
        <w:tc>
          <w:tcPr>
            <w:tcW w:w="932" w:type="dxa"/>
            <w:tcBorders>
              <w:top w:val="nil"/>
              <w:left w:val="nil"/>
              <w:bottom w:val="single" w:sz="4" w:space="0" w:color="auto"/>
              <w:right w:val="single" w:sz="4" w:space="0" w:color="auto"/>
            </w:tcBorders>
            <w:shd w:val="clear" w:color="auto" w:fill="auto"/>
            <w:noWrap/>
            <w:vAlign w:val="bottom"/>
            <w:hideMark/>
          </w:tcPr>
          <w:p w:rsidR="003D5175" w:rsidRPr="009E5BF6" w:rsidRDefault="003D5175" w:rsidP="00704169">
            <w:pPr>
              <w:spacing w:after="0" w:line="240" w:lineRule="auto"/>
              <w:ind w:right="-167"/>
              <w:jc w:val="center"/>
              <w:rPr>
                <w:rFonts w:ascii="Tahoma" w:eastAsia="Times New Roman" w:hAnsi="Tahoma" w:cs="Tahoma"/>
                <w:color w:val="000000"/>
              </w:rPr>
            </w:pPr>
            <w:r w:rsidRPr="009E5BF6">
              <w:rPr>
                <w:rFonts w:ascii="Tahoma" w:eastAsia="Times New Roman" w:hAnsi="Tahoma" w:cs="Tahoma"/>
                <w:color w:val="000000"/>
              </w:rPr>
              <w:t>Std. Dev.</w:t>
            </w:r>
            <w:r w:rsidRPr="009E5BF6">
              <w:rPr>
                <w:rFonts w:ascii="Tahoma" w:eastAsia="Times New Roman" w:hAnsi="Tahoma" w:cs="Tahoma"/>
                <w:color w:val="000000"/>
                <w:vertAlign w:val="superscript"/>
              </w:rPr>
              <w:t>2</w:t>
            </w:r>
          </w:p>
        </w:tc>
        <w:tc>
          <w:tcPr>
            <w:tcW w:w="1144" w:type="dxa"/>
            <w:tcBorders>
              <w:top w:val="nil"/>
              <w:left w:val="nil"/>
              <w:bottom w:val="single" w:sz="4" w:space="0" w:color="auto"/>
              <w:right w:val="single" w:sz="4" w:space="0" w:color="auto"/>
            </w:tcBorders>
            <w:shd w:val="clear" w:color="auto" w:fill="auto"/>
            <w:noWrap/>
            <w:vAlign w:val="bottom"/>
            <w:hideMark/>
          </w:tcPr>
          <w:p w:rsidR="003D5175" w:rsidRPr="009E5BF6" w:rsidRDefault="00E84852"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 xml:space="preserve">Annual $ </w:t>
            </w:r>
            <w:r w:rsidR="003D5175" w:rsidRPr="009E5BF6">
              <w:rPr>
                <w:rFonts w:ascii="Tahoma" w:eastAsia="Times New Roman" w:hAnsi="Tahoma" w:cs="Tahoma"/>
                <w:color w:val="000000"/>
              </w:rPr>
              <w:t>Median</w:t>
            </w:r>
          </w:p>
        </w:tc>
      </w:tr>
      <w:tr w:rsidR="003D5175" w:rsidRPr="009E5BF6" w:rsidTr="00E84852">
        <w:trPr>
          <w:trHeight w:val="368"/>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rPr>
                <w:rFonts w:ascii="Tahoma" w:eastAsia="Times New Roman" w:hAnsi="Tahoma" w:cs="Tahoma"/>
                <w:color w:val="000000"/>
              </w:rPr>
            </w:pPr>
            <w:r w:rsidRPr="009E5BF6">
              <w:rPr>
                <w:rFonts w:ascii="Tahoma" w:eastAsia="Times New Roman" w:hAnsi="Tahoma" w:cs="Tahoma"/>
                <w:color w:val="000000"/>
              </w:rPr>
              <w:t xml:space="preserve">Management </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3,320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0.65</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97,560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2.9</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79,630</w:t>
            </w:r>
          </w:p>
        </w:tc>
      </w:tr>
      <w:tr w:rsidR="003D5175" w:rsidRPr="009E5BF6" w:rsidTr="00E84852">
        <w:trPr>
          <w:trHeight w:val="300"/>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rPr>
                <w:rFonts w:ascii="Tahoma" w:eastAsia="Times New Roman" w:hAnsi="Tahoma" w:cs="Tahoma"/>
                <w:color w:val="000000"/>
              </w:rPr>
            </w:pPr>
            <w:r w:rsidRPr="009E5BF6">
              <w:rPr>
                <w:rFonts w:ascii="Tahoma" w:eastAsia="Times New Roman" w:hAnsi="Tahoma" w:cs="Tahoma"/>
                <w:color w:val="000000"/>
              </w:rPr>
              <w:t xml:space="preserve">Business and Financial Operations </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4,170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0.80</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61,570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1.7</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57,200</w:t>
            </w:r>
          </w:p>
        </w:tc>
      </w:tr>
      <w:tr w:rsidR="003D5175" w:rsidRPr="009E5BF6" w:rsidTr="00E84852">
        <w:trPr>
          <w:trHeight w:val="300"/>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rPr>
                <w:rFonts w:ascii="Tahoma" w:eastAsia="Times New Roman" w:hAnsi="Tahoma" w:cs="Tahoma"/>
                <w:color w:val="000000"/>
              </w:rPr>
            </w:pPr>
            <w:r w:rsidRPr="009E5BF6">
              <w:rPr>
                <w:rFonts w:ascii="Tahoma" w:eastAsia="Times New Roman" w:hAnsi="Tahoma" w:cs="Tahoma"/>
                <w:color w:val="000000"/>
              </w:rPr>
              <w:t xml:space="preserve">Computer and Mathematical </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1,880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0.64</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70,530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3.1</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64,040</w:t>
            </w:r>
          </w:p>
        </w:tc>
      </w:tr>
      <w:tr w:rsidR="003D5175" w:rsidRPr="009E5BF6" w:rsidTr="00E84852">
        <w:trPr>
          <w:trHeight w:val="300"/>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rPr>
                <w:rFonts w:ascii="Tahoma" w:eastAsia="Times New Roman" w:hAnsi="Tahoma" w:cs="Tahoma"/>
                <w:color w:val="000000"/>
              </w:rPr>
            </w:pPr>
            <w:r w:rsidRPr="009E5BF6">
              <w:rPr>
                <w:rFonts w:ascii="Tahoma" w:eastAsia="Times New Roman" w:hAnsi="Tahoma" w:cs="Tahoma"/>
                <w:color w:val="000000"/>
              </w:rPr>
              <w:t xml:space="preserve">Architecture and Engineering </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1,580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0.85</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74,060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5.0</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68,520</w:t>
            </w:r>
          </w:p>
        </w:tc>
      </w:tr>
      <w:tr w:rsidR="003D5175" w:rsidRPr="009E5BF6" w:rsidTr="00E84852">
        <w:trPr>
          <w:trHeight w:val="300"/>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rPr>
                <w:rFonts w:ascii="Tahoma" w:eastAsia="Times New Roman" w:hAnsi="Tahoma" w:cs="Tahoma"/>
                <w:color w:val="000000"/>
              </w:rPr>
            </w:pPr>
            <w:r w:rsidRPr="009E5BF6">
              <w:rPr>
                <w:rFonts w:ascii="Tahoma" w:eastAsia="Times New Roman" w:hAnsi="Tahoma" w:cs="Tahoma"/>
                <w:color w:val="000000"/>
              </w:rPr>
              <w:t xml:space="preserve">Life, Physical, and Social Science </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660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0.75</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53,590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3.5</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47,220</w:t>
            </w:r>
          </w:p>
        </w:tc>
      </w:tr>
      <w:tr w:rsidR="003D5175" w:rsidRPr="009E5BF6" w:rsidTr="00E84852">
        <w:trPr>
          <w:trHeight w:val="300"/>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rPr>
                <w:rFonts w:ascii="Tahoma" w:eastAsia="Times New Roman" w:hAnsi="Tahoma" w:cs="Tahoma"/>
                <w:color w:val="000000"/>
              </w:rPr>
            </w:pPr>
            <w:r w:rsidRPr="009E5BF6">
              <w:rPr>
                <w:rFonts w:ascii="Tahoma" w:eastAsia="Times New Roman" w:hAnsi="Tahoma" w:cs="Tahoma"/>
                <w:color w:val="000000"/>
              </w:rPr>
              <w:t xml:space="preserve">Community and Social Service </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1,350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0.91</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43,900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2.7</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41,790</w:t>
            </w:r>
          </w:p>
        </w:tc>
      </w:tr>
      <w:tr w:rsidR="003D5175" w:rsidRPr="009E5BF6" w:rsidTr="00E84852">
        <w:trPr>
          <w:trHeight w:val="300"/>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rPr>
                <w:rFonts w:ascii="Tahoma" w:eastAsia="Times New Roman" w:hAnsi="Tahoma" w:cs="Tahoma"/>
                <w:color w:val="000000"/>
              </w:rPr>
            </w:pPr>
            <w:r w:rsidRPr="009E5BF6">
              <w:rPr>
                <w:rFonts w:ascii="Tahoma" w:eastAsia="Times New Roman" w:hAnsi="Tahoma" w:cs="Tahoma"/>
                <w:color w:val="000000"/>
              </w:rPr>
              <w:t xml:space="preserve">Legal </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550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0.68</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80,770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9.2</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68,710</w:t>
            </w:r>
          </w:p>
        </w:tc>
      </w:tr>
      <w:tr w:rsidR="003D5175" w:rsidRPr="009E5BF6" w:rsidTr="00E84852">
        <w:trPr>
          <w:trHeight w:val="300"/>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rPr>
                <w:rFonts w:ascii="Tahoma" w:eastAsia="Times New Roman" w:hAnsi="Tahoma" w:cs="Tahoma"/>
                <w:color w:val="000000"/>
              </w:rPr>
            </w:pPr>
            <w:r w:rsidRPr="009E5BF6">
              <w:rPr>
                <w:rFonts w:ascii="Tahoma" w:eastAsia="Times New Roman" w:hAnsi="Tahoma" w:cs="Tahoma"/>
                <w:color w:val="000000"/>
              </w:rPr>
              <w:t xml:space="preserve">Education, Training, and Library </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7,970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1.24</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46,590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6.3</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43,180</w:t>
            </w:r>
          </w:p>
        </w:tc>
      </w:tr>
      <w:tr w:rsidR="003D5175" w:rsidRPr="009E5BF6" w:rsidTr="00E84852">
        <w:trPr>
          <w:trHeight w:val="300"/>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A71D1E">
            <w:pPr>
              <w:spacing w:after="0" w:line="240" w:lineRule="auto"/>
              <w:rPr>
                <w:rFonts w:ascii="Tahoma" w:eastAsia="Times New Roman" w:hAnsi="Tahoma" w:cs="Tahoma"/>
                <w:color w:val="000000"/>
              </w:rPr>
            </w:pPr>
            <w:r w:rsidRPr="009E5BF6">
              <w:rPr>
                <w:rFonts w:ascii="Tahoma" w:eastAsia="Times New Roman" w:hAnsi="Tahoma" w:cs="Tahoma"/>
                <w:color w:val="000000"/>
              </w:rPr>
              <w:t>Arts, Design, Entertain</w:t>
            </w:r>
            <w:r w:rsidR="00A71D1E" w:rsidRPr="009E5BF6">
              <w:rPr>
                <w:rFonts w:ascii="Tahoma" w:eastAsia="Times New Roman" w:hAnsi="Tahoma" w:cs="Tahoma"/>
                <w:color w:val="000000"/>
              </w:rPr>
              <w:t xml:space="preserve">, </w:t>
            </w:r>
            <w:r w:rsidRPr="009E5BF6">
              <w:rPr>
                <w:rFonts w:ascii="Tahoma" w:eastAsia="Times New Roman" w:hAnsi="Tahoma" w:cs="Tahoma"/>
                <w:color w:val="000000"/>
              </w:rPr>
              <w:t>Sports</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1,100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0.80</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48,830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8.8</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38,300</w:t>
            </w:r>
          </w:p>
        </w:tc>
      </w:tr>
      <w:tr w:rsidR="003D5175" w:rsidRPr="009E5BF6" w:rsidTr="00E84852">
        <w:trPr>
          <w:trHeight w:val="300"/>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A71D1E">
            <w:pPr>
              <w:spacing w:after="0" w:line="240" w:lineRule="auto"/>
              <w:rPr>
                <w:rFonts w:ascii="Tahoma" w:eastAsia="Times New Roman" w:hAnsi="Tahoma" w:cs="Tahoma"/>
                <w:color w:val="000000"/>
              </w:rPr>
            </w:pPr>
            <w:r w:rsidRPr="009E5BF6">
              <w:rPr>
                <w:rFonts w:ascii="Tahoma" w:eastAsia="Times New Roman" w:hAnsi="Tahoma" w:cs="Tahoma"/>
                <w:color w:val="000000"/>
              </w:rPr>
              <w:t>Healthcare Practitioners/tech</w:t>
            </w:r>
            <w:r w:rsidR="00A71D1E" w:rsidRPr="009E5BF6">
              <w:rPr>
                <w:rFonts w:ascii="Tahoma" w:eastAsia="Times New Roman" w:hAnsi="Tahoma" w:cs="Tahoma"/>
                <w:color w:val="000000"/>
              </w:rPr>
              <w:t>.</w:t>
            </w:r>
            <w:r w:rsidRPr="009E5BF6">
              <w:rPr>
                <w:rFonts w:ascii="Tahoma" w:eastAsia="Times New Roman" w:hAnsi="Tahoma" w:cs="Tahoma"/>
                <w:color w:val="000000"/>
              </w:rPr>
              <w:t xml:space="preserve"> </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4,770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0.80</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88,850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7.9</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61,980</w:t>
            </w:r>
          </w:p>
        </w:tc>
      </w:tr>
      <w:tr w:rsidR="003D5175" w:rsidRPr="009E5BF6" w:rsidTr="00E84852">
        <w:trPr>
          <w:trHeight w:val="300"/>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rPr>
                <w:rFonts w:ascii="Tahoma" w:eastAsia="Times New Roman" w:hAnsi="Tahoma" w:cs="Tahoma"/>
                <w:color w:val="000000"/>
              </w:rPr>
            </w:pPr>
            <w:r w:rsidRPr="009E5BF6">
              <w:rPr>
                <w:rFonts w:ascii="Tahoma" w:eastAsia="Times New Roman" w:hAnsi="Tahoma" w:cs="Tahoma"/>
                <w:color w:val="000000"/>
              </w:rPr>
              <w:t xml:space="preserve">Healthcare Support </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2,460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0.82</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28,720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3.5</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26,570</w:t>
            </w:r>
          </w:p>
        </w:tc>
      </w:tr>
      <w:tr w:rsidR="003D5175" w:rsidRPr="009E5BF6" w:rsidTr="00E84852">
        <w:trPr>
          <w:trHeight w:val="300"/>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rPr>
                <w:rFonts w:ascii="Tahoma" w:eastAsia="Times New Roman" w:hAnsi="Tahoma" w:cs="Tahoma"/>
                <w:color w:val="000000"/>
              </w:rPr>
            </w:pPr>
            <w:r w:rsidRPr="009E5BF6">
              <w:rPr>
                <w:rFonts w:ascii="Tahoma" w:eastAsia="Times New Roman" w:hAnsi="Tahoma" w:cs="Tahoma"/>
                <w:color w:val="000000"/>
              </w:rPr>
              <w:t xml:space="preserve">Protective Service </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2,150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0.85</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43,480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3.4</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40,940</w:t>
            </w:r>
          </w:p>
        </w:tc>
      </w:tr>
      <w:tr w:rsidR="003D5175" w:rsidRPr="009E5BF6" w:rsidTr="00E84852">
        <w:trPr>
          <w:trHeight w:val="300"/>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A71D1E">
            <w:pPr>
              <w:spacing w:after="0" w:line="240" w:lineRule="auto"/>
              <w:rPr>
                <w:rFonts w:ascii="Tahoma" w:eastAsia="Times New Roman" w:hAnsi="Tahoma" w:cs="Tahoma"/>
                <w:color w:val="000000"/>
              </w:rPr>
            </w:pPr>
            <w:r w:rsidRPr="009E5BF6">
              <w:rPr>
                <w:rFonts w:ascii="Tahoma" w:eastAsia="Times New Roman" w:hAnsi="Tahoma" w:cs="Tahoma"/>
                <w:color w:val="000000"/>
              </w:rPr>
              <w:t xml:space="preserve">Food Preparation and Serving </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10,230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1.09</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19,120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1.5</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18,030</w:t>
            </w:r>
          </w:p>
        </w:tc>
      </w:tr>
      <w:tr w:rsidR="003D5175" w:rsidRPr="009E5BF6" w:rsidTr="00E84852">
        <w:trPr>
          <w:trHeight w:val="300"/>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A71D1E">
            <w:pPr>
              <w:spacing w:after="0" w:line="240" w:lineRule="auto"/>
              <w:rPr>
                <w:rFonts w:ascii="Tahoma" w:eastAsia="Times New Roman" w:hAnsi="Tahoma" w:cs="Tahoma"/>
                <w:color w:val="000000"/>
              </w:rPr>
            </w:pPr>
            <w:r w:rsidRPr="009E5BF6">
              <w:rPr>
                <w:rFonts w:ascii="Tahoma" w:eastAsia="Times New Roman" w:hAnsi="Tahoma" w:cs="Tahoma"/>
                <w:color w:val="000000"/>
              </w:rPr>
              <w:t>Building Cleaning</w:t>
            </w:r>
            <w:r w:rsidR="00A71D1E" w:rsidRPr="009E5BF6">
              <w:rPr>
                <w:rFonts w:ascii="Tahoma" w:eastAsia="Times New Roman" w:hAnsi="Tahoma" w:cs="Tahoma"/>
                <w:color w:val="000000"/>
              </w:rPr>
              <w:t>/</w:t>
            </w:r>
            <w:r w:rsidRPr="009E5BF6">
              <w:rPr>
                <w:rFonts w:ascii="Tahoma" w:eastAsia="Times New Roman" w:hAnsi="Tahoma" w:cs="Tahoma"/>
                <w:color w:val="000000"/>
              </w:rPr>
              <w:t xml:space="preserve">Maintenance </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3,250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0.97</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22,230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2.2</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19,990</w:t>
            </w:r>
          </w:p>
        </w:tc>
      </w:tr>
      <w:tr w:rsidR="003D5175" w:rsidRPr="009E5BF6" w:rsidTr="00E84852">
        <w:trPr>
          <w:trHeight w:val="300"/>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rPr>
                <w:rFonts w:ascii="Tahoma" w:eastAsia="Times New Roman" w:hAnsi="Tahoma" w:cs="Tahoma"/>
                <w:color w:val="000000"/>
              </w:rPr>
            </w:pPr>
            <w:r w:rsidRPr="009E5BF6">
              <w:rPr>
                <w:rFonts w:ascii="Tahoma" w:eastAsia="Times New Roman" w:hAnsi="Tahoma" w:cs="Tahoma"/>
                <w:color w:val="000000"/>
              </w:rPr>
              <w:t xml:space="preserve">Personal Care and Service </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4,010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1.26</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21,160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5.5</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18,410</w:t>
            </w:r>
          </w:p>
        </w:tc>
      </w:tr>
      <w:tr w:rsidR="003D5175" w:rsidRPr="009E5BF6" w:rsidTr="00E84852">
        <w:trPr>
          <w:trHeight w:val="300"/>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rPr>
                <w:rFonts w:ascii="Tahoma" w:eastAsia="Times New Roman" w:hAnsi="Tahoma" w:cs="Tahoma"/>
                <w:color w:val="000000"/>
              </w:rPr>
            </w:pPr>
            <w:r w:rsidRPr="009E5BF6">
              <w:rPr>
                <w:rFonts w:ascii="Tahoma" w:eastAsia="Times New Roman" w:hAnsi="Tahoma" w:cs="Tahoma"/>
                <w:color w:val="000000"/>
              </w:rPr>
              <w:t xml:space="preserve">Sales and Related </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10,550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0.97</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33,840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3.2</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23,410</w:t>
            </w:r>
          </w:p>
        </w:tc>
      </w:tr>
      <w:tr w:rsidR="003D5175" w:rsidRPr="009E5BF6" w:rsidTr="00E84852">
        <w:trPr>
          <w:trHeight w:val="300"/>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rPr>
                <w:rFonts w:ascii="Tahoma" w:eastAsia="Times New Roman" w:hAnsi="Tahoma" w:cs="Tahoma"/>
                <w:color w:val="000000"/>
              </w:rPr>
            </w:pPr>
            <w:r w:rsidRPr="009E5BF6">
              <w:rPr>
                <w:rFonts w:ascii="Tahoma" w:eastAsia="Times New Roman" w:hAnsi="Tahoma" w:cs="Tahoma"/>
                <w:color w:val="000000"/>
              </w:rPr>
              <w:t xml:space="preserve">Office and Administrative Support </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17,860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1.08</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32,620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1.9</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29,240</w:t>
            </w:r>
          </w:p>
        </w:tc>
      </w:tr>
      <w:tr w:rsidR="003D5175" w:rsidRPr="009E5BF6" w:rsidTr="00E84852">
        <w:trPr>
          <w:trHeight w:val="300"/>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rPr>
                <w:rFonts w:ascii="Tahoma" w:eastAsia="Times New Roman" w:hAnsi="Tahoma" w:cs="Tahoma"/>
                <w:color w:val="000000"/>
              </w:rPr>
            </w:pPr>
            <w:r w:rsidRPr="009E5BF6">
              <w:rPr>
                <w:rFonts w:ascii="Tahoma" w:eastAsia="Times New Roman" w:hAnsi="Tahoma" w:cs="Tahoma"/>
                <w:color w:val="000000"/>
              </w:rPr>
              <w:t xml:space="preserve">Farming, Fishing, and Forestry </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160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0.48</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27,410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7.9</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23,560</w:t>
            </w:r>
          </w:p>
        </w:tc>
      </w:tr>
      <w:tr w:rsidR="003D5175" w:rsidRPr="009E5BF6" w:rsidTr="00E84852">
        <w:trPr>
          <w:trHeight w:val="300"/>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rPr>
                <w:rFonts w:ascii="Tahoma" w:eastAsia="Times New Roman" w:hAnsi="Tahoma" w:cs="Tahoma"/>
                <w:color w:val="000000"/>
              </w:rPr>
            </w:pPr>
            <w:r w:rsidRPr="009E5BF6">
              <w:rPr>
                <w:rFonts w:ascii="Tahoma" w:eastAsia="Times New Roman" w:hAnsi="Tahoma" w:cs="Tahoma"/>
                <w:color w:val="000000"/>
              </w:rPr>
              <w:t xml:space="preserve">Construction and Extraction </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5,290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1.31</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34,020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2.1</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30,450</w:t>
            </w:r>
          </w:p>
        </w:tc>
      </w:tr>
      <w:tr w:rsidR="003D5175" w:rsidRPr="009E5BF6" w:rsidTr="00E84852">
        <w:trPr>
          <w:trHeight w:val="300"/>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A71D1E">
            <w:pPr>
              <w:spacing w:after="0" w:line="240" w:lineRule="auto"/>
              <w:rPr>
                <w:rFonts w:ascii="Tahoma" w:eastAsia="Times New Roman" w:hAnsi="Tahoma" w:cs="Tahoma"/>
                <w:color w:val="000000"/>
              </w:rPr>
            </w:pPr>
            <w:r w:rsidRPr="009E5BF6">
              <w:rPr>
                <w:rFonts w:ascii="Tahoma" w:eastAsia="Times New Roman" w:hAnsi="Tahoma" w:cs="Tahoma"/>
                <w:color w:val="000000"/>
              </w:rPr>
              <w:t>Installation, Maintenance, Repair</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5,060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1.26</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40,790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3.0</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38,780</w:t>
            </w:r>
          </w:p>
        </w:tc>
      </w:tr>
      <w:tr w:rsidR="003D5175" w:rsidRPr="009E5BF6" w:rsidTr="00E84852">
        <w:trPr>
          <w:trHeight w:val="300"/>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rPr>
                <w:rFonts w:ascii="Tahoma" w:eastAsia="Times New Roman" w:hAnsi="Tahoma" w:cs="Tahoma"/>
                <w:color w:val="000000"/>
              </w:rPr>
            </w:pPr>
            <w:r w:rsidRPr="009E5BF6">
              <w:rPr>
                <w:rFonts w:ascii="Tahoma" w:eastAsia="Times New Roman" w:hAnsi="Tahoma" w:cs="Tahoma"/>
                <w:color w:val="000000"/>
              </w:rPr>
              <w:t xml:space="preserve">Production </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8,380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1.23</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33,690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4.7</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0" w:line="240" w:lineRule="auto"/>
              <w:jc w:val="center"/>
              <w:rPr>
                <w:rFonts w:ascii="Tahoma" w:eastAsia="Times New Roman" w:hAnsi="Tahoma" w:cs="Tahoma"/>
                <w:color w:val="000000"/>
              </w:rPr>
            </w:pPr>
            <w:r w:rsidRPr="009E5BF6">
              <w:rPr>
                <w:rFonts w:ascii="Tahoma" w:eastAsia="Times New Roman" w:hAnsi="Tahoma" w:cs="Tahoma"/>
                <w:color w:val="000000"/>
              </w:rPr>
              <w:t>29,740</w:t>
            </w:r>
          </w:p>
        </w:tc>
      </w:tr>
      <w:tr w:rsidR="003D5175" w:rsidRPr="009E5BF6" w:rsidTr="00E84852">
        <w:trPr>
          <w:trHeight w:val="300"/>
        </w:trPr>
        <w:tc>
          <w:tcPr>
            <w:tcW w:w="3550" w:type="dxa"/>
            <w:tcBorders>
              <w:top w:val="nil"/>
              <w:left w:val="single" w:sz="4" w:space="0" w:color="auto"/>
              <w:bottom w:val="nil"/>
              <w:right w:val="nil"/>
            </w:tcBorders>
            <w:shd w:val="clear" w:color="auto" w:fill="auto"/>
            <w:noWrap/>
            <w:vAlign w:val="bottom"/>
            <w:hideMark/>
          </w:tcPr>
          <w:p w:rsidR="003D5175" w:rsidRPr="009E5BF6" w:rsidRDefault="003D5175" w:rsidP="00A71D1E">
            <w:pPr>
              <w:spacing w:after="120" w:line="240" w:lineRule="auto"/>
              <w:rPr>
                <w:rFonts w:ascii="Tahoma" w:eastAsia="Times New Roman" w:hAnsi="Tahoma" w:cs="Tahoma"/>
                <w:color w:val="000000"/>
              </w:rPr>
            </w:pPr>
            <w:r w:rsidRPr="009E5BF6">
              <w:rPr>
                <w:rFonts w:ascii="Tahoma" w:eastAsia="Times New Roman" w:hAnsi="Tahoma" w:cs="Tahoma"/>
                <w:color w:val="000000"/>
              </w:rPr>
              <w:t xml:space="preserve">Transport and Material Moving </w:t>
            </w:r>
          </w:p>
        </w:tc>
        <w:tc>
          <w:tcPr>
            <w:tcW w:w="1148" w:type="dxa"/>
            <w:tcBorders>
              <w:top w:val="nil"/>
              <w:left w:val="single" w:sz="4" w:space="0" w:color="auto"/>
              <w:bottom w:val="nil"/>
              <w:right w:val="nil"/>
            </w:tcBorders>
            <w:shd w:val="clear" w:color="auto" w:fill="auto"/>
            <w:noWrap/>
            <w:vAlign w:val="bottom"/>
            <w:hideMark/>
          </w:tcPr>
          <w:p w:rsidR="003D5175" w:rsidRPr="009E5BF6" w:rsidRDefault="003D5175" w:rsidP="00704169">
            <w:pPr>
              <w:spacing w:after="120" w:line="240" w:lineRule="auto"/>
              <w:jc w:val="center"/>
              <w:rPr>
                <w:rFonts w:ascii="Tahoma" w:eastAsia="Times New Roman" w:hAnsi="Tahoma" w:cs="Tahoma"/>
                <w:color w:val="000000"/>
              </w:rPr>
            </w:pPr>
            <w:r w:rsidRPr="009E5BF6">
              <w:rPr>
                <w:rFonts w:ascii="Tahoma" w:eastAsia="Times New Roman" w:hAnsi="Tahoma" w:cs="Tahoma"/>
                <w:color w:val="000000"/>
              </w:rPr>
              <w:t>6,440</w:t>
            </w:r>
          </w:p>
        </w:tc>
        <w:tc>
          <w:tcPr>
            <w:tcW w:w="1113" w:type="dxa"/>
            <w:tcBorders>
              <w:top w:val="nil"/>
              <w:left w:val="single" w:sz="4" w:space="0" w:color="auto"/>
              <w:bottom w:val="nil"/>
              <w:right w:val="single" w:sz="4" w:space="0" w:color="auto"/>
            </w:tcBorders>
            <w:shd w:val="clear" w:color="auto" w:fill="auto"/>
            <w:noWrap/>
            <w:vAlign w:val="bottom"/>
            <w:hideMark/>
          </w:tcPr>
          <w:p w:rsidR="003D5175" w:rsidRPr="009E5BF6" w:rsidRDefault="003D5175" w:rsidP="00704169">
            <w:pPr>
              <w:spacing w:after="120" w:line="240" w:lineRule="auto"/>
              <w:jc w:val="center"/>
              <w:rPr>
                <w:rFonts w:ascii="Tahoma" w:eastAsia="Times New Roman" w:hAnsi="Tahoma" w:cs="Tahoma"/>
                <w:color w:val="000000"/>
              </w:rPr>
            </w:pPr>
            <w:r w:rsidRPr="009E5BF6">
              <w:rPr>
                <w:rFonts w:ascii="Tahoma" w:eastAsia="Times New Roman" w:hAnsi="Tahoma" w:cs="Tahoma"/>
                <w:color w:val="000000"/>
              </w:rPr>
              <w:t>0.91</w:t>
            </w:r>
          </w:p>
        </w:tc>
        <w:tc>
          <w:tcPr>
            <w:tcW w:w="1149"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120" w:line="240" w:lineRule="auto"/>
              <w:jc w:val="center"/>
              <w:rPr>
                <w:rFonts w:ascii="Tahoma" w:eastAsia="Times New Roman" w:hAnsi="Tahoma" w:cs="Tahoma"/>
                <w:color w:val="000000"/>
              </w:rPr>
            </w:pPr>
            <w:r w:rsidRPr="009E5BF6">
              <w:rPr>
                <w:rFonts w:ascii="Tahoma" w:eastAsia="Times New Roman" w:hAnsi="Tahoma" w:cs="Tahoma"/>
                <w:color w:val="000000"/>
              </w:rPr>
              <w:t>28,670</w:t>
            </w:r>
          </w:p>
        </w:tc>
        <w:tc>
          <w:tcPr>
            <w:tcW w:w="932"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120" w:line="240" w:lineRule="auto"/>
              <w:jc w:val="center"/>
              <w:rPr>
                <w:rFonts w:ascii="Tahoma" w:eastAsia="Times New Roman" w:hAnsi="Tahoma" w:cs="Tahoma"/>
                <w:color w:val="000000"/>
              </w:rPr>
            </w:pPr>
            <w:r w:rsidRPr="009E5BF6">
              <w:rPr>
                <w:rFonts w:ascii="Tahoma" w:eastAsia="Times New Roman" w:hAnsi="Tahoma" w:cs="Tahoma"/>
                <w:color w:val="000000"/>
              </w:rPr>
              <w:t>2.3</w:t>
            </w:r>
          </w:p>
        </w:tc>
        <w:tc>
          <w:tcPr>
            <w:tcW w:w="1144" w:type="dxa"/>
            <w:tcBorders>
              <w:top w:val="nil"/>
              <w:left w:val="nil"/>
              <w:bottom w:val="nil"/>
              <w:right w:val="single" w:sz="4" w:space="0" w:color="auto"/>
            </w:tcBorders>
            <w:shd w:val="clear" w:color="auto" w:fill="auto"/>
            <w:noWrap/>
            <w:vAlign w:val="bottom"/>
            <w:hideMark/>
          </w:tcPr>
          <w:p w:rsidR="003D5175" w:rsidRPr="009E5BF6" w:rsidRDefault="003D5175" w:rsidP="00704169">
            <w:pPr>
              <w:spacing w:after="120" w:line="240" w:lineRule="auto"/>
              <w:jc w:val="center"/>
              <w:rPr>
                <w:rFonts w:ascii="Tahoma" w:eastAsia="Times New Roman" w:hAnsi="Tahoma" w:cs="Tahoma"/>
                <w:color w:val="000000"/>
              </w:rPr>
            </w:pPr>
            <w:r w:rsidRPr="009E5BF6">
              <w:rPr>
                <w:rFonts w:ascii="Tahoma" w:eastAsia="Times New Roman" w:hAnsi="Tahoma" w:cs="Tahoma"/>
                <w:color w:val="000000"/>
              </w:rPr>
              <w:t>25,810</w:t>
            </w:r>
          </w:p>
        </w:tc>
      </w:tr>
      <w:tr w:rsidR="003D5175" w:rsidRPr="009E5BF6" w:rsidTr="00E84852">
        <w:trPr>
          <w:trHeight w:val="413"/>
        </w:trPr>
        <w:tc>
          <w:tcPr>
            <w:tcW w:w="3550" w:type="dxa"/>
            <w:tcBorders>
              <w:top w:val="single" w:sz="4" w:space="0" w:color="auto"/>
              <w:left w:val="single" w:sz="4" w:space="0" w:color="auto"/>
              <w:bottom w:val="single" w:sz="4" w:space="0" w:color="auto"/>
              <w:right w:val="nil"/>
            </w:tcBorders>
            <w:shd w:val="clear" w:color="auto" w:fill="auto"/>
            <w:noWrap/>
            <w:vAlign w:val="bottom"/>
            <w:hideMark/>
          </w:tcPr>
          <w:p w:rsidR="003D5175" w:rsidRPr="009E5BF6" w:rsidRDefault="003D5175" w:rsidP="00704169">
            <w:pPr>
              <w:spacing w:after="120" w:line="240" w:lineRule="auto"/>
              <w:rPr>
                <w:rFonts w:ascii="Tahoma" w:eastAsia="Times New Roman" w:hAnsi="Tahoma" w:cs="Tahoma"/>
                <w:color w:val="000000"/>
              </w:rPr>
            </w:pPr>
            <w:r w:rsidRPr="009E5BF6">
              <w:rPr>
                <w:rFonts w:ascii="Tahoma" w:eastAsia="Times New Roman" w:hAnsi="Tahoma" w:cs="Tahoma"/>
                <w:color w:val="000000"/>
              </w:rPr>
              <w:t xml:space="preserve">      Total for All Occupations</w:t>
            </w:r>
          </w:p>
        </w:tc>
        <w:tc>
          <w:tcPr>
            <w:tcW w:w="1148" w:type="dxa"/>
            <w:tcBorders>
              <w:top w:val="single" w:sz="4" w:space="0" w:color="auto"/>
              <w:left w:val="single" w:sz="4" w:space="0" w:color="auto"/>
              <w:bottom w:val="single" w:sz="4" w:space="0" w:color="auto"/>
              <w:right w:val="nil"/>
            </w:tcBorders>
            <w:shd w:val="clear" w:color="auto" w:fill="auto"/>
            <w:noWrap/>
            <w:vAlign w:val="bottom"/>
            <w:hideMark/>
          </w:tcPr>
          <w:p w:rsidR="003D5175" w:rsidRPr="009E5BF6" w:rsidRDefault="003D5175" w:rsidP="00704169">
            <w:pPr>
              <w:spacing w:after="120" w:line="240" w:lineRule="auto"/>
              <w:jc w:val="center"/>
              <w:rPr>
                <w:rFonts w:ascii="Tahoma" w:eastAsia="Times New Roman" w:hAnsi="Tahoma" w:cs="Tahoma"/>
                <w:color w:val="000000"/>
              </w:rPr>
            </w:pPr>
            <w:r w:rsidRPr="009E5BF6">
              <w:rPr>
                <w:rFonts w:ascii="Tahoma" w:eastAsia="Times New Roman" w:hAnsi="Tahoma" w:cs="Tahoma"/>
                <w:color w:val="000000"/>
              </w:rPr>
              <w:t>103,190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175" w:rsidRPr="009E5BF6" w:rsidRDefault="003D5175" w:rsidP="00704169">
            <w:pPr>
              <w:spacing w:after="120" w:line="240" w:lineRule="auto"/>
              <w:jc w:val="center"/>
              <w:rPr>
                <w:rFonts w:ascii="Tahoma" w:eastAsia="Times New Roman" w:hAnsi="Tahoma" w:cs="Tahoma"/>
                <w:color w:val="000000"/>
              </w:rPr>
            </w:pPr>
            <w:r w:rsidRPr="009E5BF6">
              <w:rPr>
                <w:rFonts w:ascii="Tahoma" w:eastAsia="Times New Roman" w:hAnsi="Tahoma" w:cs="Tahoma"/>
                <w:color w:val="000000"/>
              </w:rPr>
              <w:t>1.00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3D5175" w:rsidRPr="009E5BF6" w:rsidRDefault="003D5175" w:rsidP="00704169">
            <w:pPr>
              <w:spacing w:after="120" w:line="240" w:lineRule="auto"/>
              <w:jc w:val="center"/>
              <w:rPr>
                <w:rFonts w:ascii="Tahoma" w:eastAsia="Times New Roman" w:hAnsi="Tahoma" w:cs="Tahoma"/>
                <w:color w:val="000000"/>
              </w:rPr>
            </w:pPr>
            <w:r w:rsidRPr="009E5BF6">
              <w:rPr>
                <w:rFonts w:ascii="Tahoma" w:eastAsia="Times New Roman" w:hAnsi="Tahoma" w:cs="Tahoma"/>
                <w:color w:val="000000"/>
              </w:rPr>
              <w:t>40,060</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3D5175" w:rsidRPr="009E5BF6" w:rsidRDefault="003D5175" w:rsidP="00704169">
            <w:pPr>
              <w:spacing w:after="120" w:line="240" w:lineRule="auto"/>
              <w:jc w:val="center"/>
              <w:rPr>
                <w:rFonts w:ascii="Tahoma" w:eastAsia="Times New Roman" w:hAnsi="Tahoma" w:cs="Tahoma"/>
                <w:color w:val="000000"/>
              </w:rPr>
            </w:pPr>
            <w:r w:rsidRPr="009E5BF6">
              <w:rPr>
                <w:rFonts w:ascii="Tahoma" w:eastAsia="Times New Roman" w:hAnsi="Tahoma" w:cs="Tahoma"/>
                <w:color w:val="000000"/>
              </w:rPr>
              <w:t>2.9</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3D5175" w:rsidRPr="009E5BF6" w:rsidRDefault="003D5175" w:rsidP="00704169">
            <w:pPr>
              <w:spacing w:after="120" w:line="240" w:lineRule="auto"/>
              <w:jc w:val="center"/>
              <w:rPr>
                <w:rFonts w:ascii="Tahoma" w:eastAsia="Times New Roman" w:hAnsi="Tahoma" w:cs="Tahoma"/>
                <w:color w:val="000000"/>
              </w:rPr>
            </w:pPr>
            <w:r w:rsidRPr="009E5BF6">
              <w:rPr>
                <w:rFonts w:ascii="Tahoma" w:eastAsia="Times New Roman" w:hAnsi="Tahoma" w:cs="Tahoma"/>
                <w:color w:val="000000"/>
              </w:rPr>
              <w:t>30,500</w:t>
            </w:r>
          </w:p>
        </w:tc>
      </w:tr>
    </w:tbl>
    <w:p w:rsidR="003D5175" w:rsidRPr="009E5BF6" w:rsidRDefault="003D5175" w:rsidP="003D5175">
      <w:pPr>
        <w:tabs>
          <w:tab w:val="left" w:pos="0"/>
        </w:tabs>
        <w:spacing w:after="0"/>
        <w:rPr>
          <w:rFonts w:ascii="Tahoma" w:hAnsi="Tahoma" w:cs="Tahoma"/>
          <w:sz w:val="18"/>
          <w:szCs w:val="18"/>
        </w:rPr>
      </w:pPr>
      <w:r w:rsidRPr="009E5BF6">
        <w:rPr>
          <w:rFonts w:ascii="Tahoma" w:hAnsi="Tahoma" w:cs="Tahoma"/>
          <w:sz w:val="18"/>
          <w:szCs w:val="18"/>
          <w:vertAlign w:val="superscript"/>
        </w:rPr>
        <w:t>1</w:t>
      </w:r>
      <w:r w:rsidRPr="009E5BF6">
        <w:rPr>
          <w:rFonts w:ascii="Tahoma" w:hAnsi="Tahoma" w:cs="Tahoma"/>
          <w:sz w:val="18"/>
          <w:szCs w:val="18"/>
        </w:rPr>
        <w:t>Percent of Waco total major occupation employment divided by percent of total in the U.S.</w:t>
      </w:r>
    </w:p>
    <w:p w:rsidR="003D5175" w:rsidRPr="009E5BF6" w:rsidRDefault="003D5175" w:rsidP="003D5175">
      <w:pPr>
        <w:tabs>
          <w:tab w:val="left" w:pos="0"/>
        </w:tabs>
        <w:spacing w:after="0"/>
        <w:rPr>
          <w:rFonts w:ascii="Tahoma" w:hAnsi="Tahoma" w:cs="Tahoma"/>
          <w:sz w:val="18"/>
          <w:szCs w:val="18"/>
        </w:rPr>
      </w:pPr>
      <w:r w:rsidRPr="009E5BF6">
        <w:rPr>
          <w:rFonts w:ascii="Tahoma" w:hAnsi="Tahoma" w:cs="Tahoma"/>
          <w:sz w:val="18"/>
          <w:szCs w:val="18"/>
          <w:vertAlign w:val="superscript"/>
        </w:rPr>
        <w:t>2</w:t>
      </w:r>
      <w:r w:rsidRPr="009E5BF6">
        <w:rPr>
          <w:rFonts w:ascii="Tahoma" w:hAnsi="Tahoma" w:cs="Tahoma"/>
          <w:sz w:val="18"/>
          <w:szCs w:val="18"/>
        </w:rPr>
        <w:t>Standard deviation around to the average income of workers classified in each major category.</w:t>
      </w:r>
    </w:p>
    <w:p w:rsidR="003D5175" w:rsidRPr="009E5BF6" w:rsidRDefault="003D5175" w:rsidP="003D5175">
      <w:pPr>
        <w:tabs>
          <w:tab w:val="left" w:pos="0"/>
        </w:tabs>
        <w:spacing w:after="0"/>
        <w:rPr>
          <w:rFonts w:ascii="Tahoma" w:hAnsi="Tahoma" w:cs="Tahoma"/>
          <w:sz w:val="18"/>
          <w:szCs w:val="18"/>
        </w:rPr>
      </w:pPr>
      <w:r w:rsidRPr="009E5BF6">
        <w:rPr>
          <w:rFonts w:ascii="Tahoma" w:hAnsi="Tahoma" w:cs="Tahoma"/>
          <w:sz w:val="18"/>
          <w:szCs w:val="18"/>
        </w:rPr>
        <w:t xml:space="preserve">Source:  U.S. Bureau of Labor Statistics. </w:t>
      </w:r>
    </w:p>
    <w:p w:rsidR="00A71D1E" w:rsidRPr="009E5BF6" w:rsidRDefault="00A71D1E" w:rsidP="003D5175">
      <w:pPr>
        <w:tabs>
          <w:tab w:val="left" w:pos="0"/>
        </w:tabs>
        <w:spacing w:after="0"/>
        <w:jc w:val="both"/>
        <w:rPr>
          <w:rFonts w:ascii="Tahoma" w:eastAsia="Times New Roman" w:hAnsi="Tahoma" w:cs="Tahoma"/>
          <w:noProof/>
        </w:rPr>
        <w:sectPr w:rsidR="00A71D1E" w:rsidRPr="009E5BF6" w:rsidSect="003E33D6">
          <w:type w:val="continuous"/>
          <w:pgSz w:w="12240" w:h="15840"/>
          <w:pgMar w:top="1440" w:right="1350" w:bottom="1440" w:left="2070" w:header="720" w:footer="720" w:gutter="0"/>
          <w:cols w:space="720"/>
          <w:docGrid w:linePitch="360"/>
        </w:sectPr>
      </w:pPr>
    </w:p>
    <w:p w:rsidR="009E5BF6" w:rsidRDefault="002A01F8" w:rsidP="00E41956">
      <w:pPr>
        <w:tabs>
          <w:tab w:val="left" w:pos="0"/>
        </w:tabs>
        <w:spacing w:after="0"/>
        <w:jc w:val="both"/>
        <w:rPr>
          <w:rFonts w:ascii="Tahoma" w:eastAsia="Times New Roman" w:hAnsi="Tahoma" w:cs="Tahoma"/>
          <w:noProof/>
        </w:rPr>
        <w:sectPr w:rsidR="009E5BF6" w:rsidSect="00A71D1E">
          <w:type w:val="continuous"/>
          <w:pgSz w:w="12240" w:h="15840"/>
          <w:pgMar w:top="1440" w:right="1350" w:bottom="1440" w:left="2070" w:header="720" w:footer="720" w:gutter="0"/>
          <w:cols w:num="2" w:space="720"/>
          <w:docGrid w:linePitch="360"/>
        </w:sectPr>
      </w:pPr>
      <w:r w:rsidRPr="009E5BF6">
        <w:rPr>
          <w:rFonts w:ascii="Tahoma" w:eastAsia="Times New Roman" w:hAnsi="Tahoma" w:cs="Tahoma"/>
          <w:noProof/>
        </w:rPr>
        <w:lastRenderedPageBreak/>
        <w:tab/>
      </w:r>
    </w:p>
    <w:p w:rsidR="003D7CC9" w:rsidRDefault="009E5BF6" w:rsidP="009E5BF6">
      <w:pPr>
        <w:tabs>
          <w:tab w:val="left" w:pos="0"/>
          <w:tab w:val="left" w:pos="540"/>
        </w:tabs>
        <w:spacing w:after="0"/>
        <w:jc w:val="both"/>
        <w:rPr>
          <w:rFonts w:ascii="Tahoma" w:eastAsia="Times New Roman" w:hAnsi="Tahoma" w:cs="Tahoma"/>
          <w:noProof/>
        </w:rPr>
      </w:pPr>
      <w:r>
        <w:rPr>
          <w:rFonts w:ascii="Tahoma" w:eastAsia="Times New Roman" w:hAnsi="Tahoma" w:cs="Tahoma"/>
          <w:noProof/>
        </w:rPr>
        <w:lastRenderedPageBreak/>
        <w:tab/>
      </w:r>
      <w:r w:rsidR="002A01F8" w:rsidRPr="009E5BF6">
        <w:rPr>
          <w:rFonts w:ascii="Tahoma" w:eastAsia="Times New Roman" w:hAnsi="Tahoma" w:cs="Tahoma"/>
          <w:noProof/>
        </w:rPr>
        <w:t>The</w:t>
      </w:r>
      <w:r w:rsidR="001B3A37" w:rsidRPr="009E5BF6">
        <w:rPr>
          <w:rFonts w:ascii="Tahoma" w:eastAsia="Times New Roman" w:hAnsi="Tahoma" w:cs="Tahoma"/>
          <w:noProof/>
        </w:rPr>
        <w:t xml:space="preserve"> </w:t>
      </w:r>
      <w:r w:rsidR="003D5175" w:rsidRPr="009E5BF6">
        <w:rPr>
          <w:rFonts w:ascii="Tahoma" w:eastAsia="Times New Roman" w:hAnsi="Tahoma" w:cs="Tahoma"/>
          <w:noProof/>
        </w:rPr>
        <w:t xml:space="preserve">May 2014 survey shows the </w:t>
      </w:r>
      <w:r w:rsidR="001B3A37" w:rsidRPr="009E5BF6">
        <w:rPr>
          <w:rFonts w:ascii="Tahoma" w:eastAsia="Times New Roman" w:hAnsi="Tahoma" w:cs="Tahoma"/>
          <w:noProof/>
        </w:rPr>
        <w:t xml:space="preserve">value of </w:t>
      </w:r>
      <w:r w:rsidR="00BD19F8" w:rsidRPr="009E5BF6">
        <w:rPr>
          <w:rFonts w:ascii="Tahoma" w:eastAsia="Times New Roman" w:hAnsi="Tahoma" w:cs="Tahoma"/>
          <w:noProof/>
        </w:rPr>
        <w:t xml:space="preserve">experience and productivity </w:t>
      </w:r>
      <w:r w:rsidR="003D5175" w:rsidRPr="009E5BF6">
        <w:rPr>
          <w:rFonts w:ascii="Tahoma" w:eastAsia="Times New Roman" w:hAnsi="Tahoma" w:cs="Tahoma"/>
          <w:noProof/>
        </w:rPr>
        <w:t>with</w:t>
      </w:r>
      <w:r w:rsidR="002A01F8" w:rsidRPr="009E5BF6">
        <w:rPr>
          <w:rFonts w:ascii="Tahoma" w:eastAsia="Times New Roman" w:hAnsi="Tahoma" w:cs="Tahoma"/>
          <w:noProof/>
        </w:rPr>
        <w:t xml:space="preserve"> an</w:t>
      </w:r>
      <w:r w:rsidR="003D5175" w:rsidRPr="009E5BF6">
        <w:rPr>
          <w:rFonts w:ascii="Tahoma" w:eastAsia="Times New Roman" w:hAnsi="Tahoma" w:cs="Tahoma"/>
          <w:noProof/>
        </w:rPr>
        <w:t xml:space="preserve"> </w:t>
      </w:r>
      <w:r w:rsidR="00F34CE6" w:rsidRPr="009E5BF6">
        <w:rPr>
          <w:rFonts w:ascii="Tahoma" w:eastAsia="Times New Roman" w:hAnsi="Tahoma" w:cs="Tahoma"/>
          <w:noProof/>
        </w:rPr>
        <w:t xml:space="preserve">annual </w:t>
      </w:r>
      <w:r w:rsidR="002A01F8" w:rsidRPr="009E5BF6">
        <w:rPr>
          <w:rFonts w:ascii="Tahoma" w:eastAsia="Times New Roman" w:hAnsi="Tahoma" w:cs="Tahoma"/>
          <w:noProof/>
        </w:rPr>
        <w:t>mean</w:t>
      </w:r>
      <w:r w:rsidR="001B3A37" w:rsidRPr="009E5BF6">
        <w:rPr>
          <w:rFonts w:ascii="Tahoma" w:eastAsia="Times New Roman" w:hAnsi="Tahoma" w:cs="Tahoma"/>
          <w:noProof/>
        </w:rPr>
        <w:t xml:space="preserve"> </w:t>
      </w:r>
      <w:r w:rsidR="00F34CE6" w:rsidRPr="009E5BF6">
        <w:rPr>
          <w:rFonts w:ascii="Tahoma" w:eastAsia="Times New Roman" w:hAnsi="Tahoma" w:cs="Tahoma"/>
          <w:noProof/>
        </w:rPr>
        <w:t xml:space="preserve">income for all </w:t>
      </w:r>
      <w:r w:rsidR="003D5175" w:rsidRPr="009E5BF6">
        <w:rPr>
          <w:rFonts w:ascii="Tahoma" w:eastAsia="Times New Roman" w:hAnsi="Tahoma" w:cs="Tahoma"/>
          <w:noProof/>
        </w:rPr>
        <w:t xml:space="preserve">Waco </w:t>
      </w:r>
      <w:r w:rsidR="00F34CE6" w:rsidRPr="009E5BF6">
        <w:rPr>
          <w:rFonts w:ascii="Tahoma" w:eastAsia="Times New Roman" w:hAnsi="Tahoma" w:cs="Tahoma"/>
          <w:noProof/>
        </w:rPr>
        <w:t>occupation</w:t>
      </w:r>
      <w:r w:rsidR="00BD19F8" w:rsidRPr="009E5BF6">
        <w:rPr>
          <w:rFonts w:ascii="Tahoma" w:eastAsia="Times New Roman" w:hAnsi="Tahoma" w:cs="Tahoma"/>
          <w:noProof/>
        </w:rPr>
        <w:t>s</w:t>
      </w:r>
      <w:r w:rsidR="00F34CE6" w:rsidRPr="009E5BF6">
        <w:rPr>
          <w:rFonts w:ascii="Tahoma" w:eastAsia="Times New Roman" w:hAnsi="Tahoma" w:cs="Tahoma"/>
          <w:noProof/>
        </w:rPr>
        <w:t xml:space="preserve"> </w:t>
      </w:r>
      <w:r w:rsidR="001B3A37" w:rsidRPr="009E5BF6">
        <w:rPr>
          <w:rFonts w:ascii="Tahoma" w:eastAsia="Times New Roman" w:hAnsi="Tahoma" w:cs="Tahoma"/>
          <w:noProof/>
        </w:rPr>
        <w:t>of</w:t>
      </w:r>
      <w:r w:rsidR="00F34CE6" w:rsidRPr="009E5BF6">
        <w:rPr>
          <w:rFonts w:ascii="Tahoma" w:eastAsia="Times New Roman" w:hAnsi="Tahoma" w:cs="Tahoma"/>
          <w:noProof/>
        </w:rPr>
        <w:t xml:space="preserve"> $40,060</w:t>
      </w:r>
      <w:r w:rsidR="008E56F0">
        <w:rPr>
          <w:rFonts w:ascii="Tahoma" w:eastAsia="Times New Roman" w:hAnsi="Tahoma" w:cs="Tahoma"/>
          <w:noProof/>
        </w:rPr>
        <w:t xml:space="preserve"> that is</w:t>
      </w:r>
      <w:r w:rsidR="00F34CE6" w:rsidRPr="009E5BF6">
        <w:rPr>
          <w:rFonts w:ascii="Tahoma" w:eastAsia="Times New Roman" w:hAnsi="Tahoma" w:cs="Tahoma"/>
          <w:noProof/>
        </w:rPr>
        <w:t xml:space="preserve"> </w:t>
      </w:r>
      <w:r w:rsidR="002A01F8" w:rsidRPr="009E5BF6">
        <w:rPr>
          <w:rFonts w:ascii="Tahoma" w:eastAsia="Times New Roman" w:hAnsi="Tahoma" w:cs="Tahoma"/>
          <w:noProof/>
        </w:rPr>
        <w:t>considerably higher than</w:t>
      </w:r>
      <w:r w:rsidR="00BD19F8" w:rsidRPr="009E5BF6">
        <w:rPr>
          <w:rFonts w:ascii="Tahoma" w:eastAsia="Times New Roman" w:hAnsi="Tahoma" w:cs="Tahoma"/>
          <w:noProof/>
        </w:rPr>
        <w:t xml:space="preserve"> </w:t>
      </w:r>
      <w:r w:rsidR="002A01F8" w:rsidRPr="009E5BF6">
        <w:rPr>
          <w:rFonts w:ascii="Tahoma" w:eastAsia="Times New Roman" w:hAnsi="Tahoma" w:cs="Tahoma"/>
          <w:noProof/>
        </w:rPr>
        <w:t>the</w:t>
      </w:r>
      <w:r w:rsidR="00F34CE6" w:rsidRPr="009E5BF6">
        <w:rPr>
          <w:rFonts w:ascii="Tahoma" w:eastAsia="Times New Roman" w:hAnsi="Tahoma" w:cs="Tahoma"/>
          <w:noProof/>
        </w:rPr>
        <w:t xml:space="preserve"> median income of $30,500</w:t>
      </w:r>
      <w:r w:rsidR="003D5175" w:rsidRPr="009E5BF6">
        <w:rPr>
          <w:rFonts w:ascii="Tahoma" w:eastAsia="Times New Roman" w:hAnsi="Tahoma" w:cs="Tahoma"/>
          <w:noProof/>
        </w:rPr>
        <w:t>.</w:t>
      </w:r>
      <w:r w:rsidR="00E41956" w:rsidRPr="009E5BF6">
        <w:rPr>
          <w:rFonts w:ascii="Tahoma" w:eastAsia="Times New Roman" w:hAnsi="Tahoma" w:cs="Tahoma"/>
          <w:noProof/>
        </w:rPr>
        <w:t xml:space="preserve">  Unfortunately, </w:t>
      </w:r>
      <w:r>
        <w:rPr>
          <w:rFonts w:ascii="Tahoma" w:eastAsia="Times New Roman" w:hAnsi="Tahoma" w:cs="Tahoma"/>
          <w:noProof/>
        </w:rPr>
        <w:t xml:space="preserve">persons </w:t>
      </w:r>
      <w:r w:rsidR="00E41956" w:rsidRPr="009E5BF6">
        <w:rPr>
          <w:rFonts w:ascii="Tahoma" w:eastAsia="Times New Roman" w:hAnsi="Tahoma" w:cs="Tahoma"/>
          <w:noProof/>
        </w:rPr>
        <w:t xml:space="preserve">in lower income households often work in occupations that offer lower initial wage incomes, less job </w:t>
      </w:r>
      <w:r w:rsidR="00E41956" w:rsidRPr="009E5BF6">
        <w:rPr>
          <w:rFonts w:ascii="Tahoma" w:eastAsia="Times New Roman" w:hAnsi="Tahoma" w:cs="Tahoma"/>
          <w:noProof/>
        </w:rPr>
        <w:lastRenderedPageBreak/>
        <w:t xml:space="preserve">stability, and smaller gains </w:t>
      </w:r>
      <w:r>
        <w:rPr>
          <w:rFonts w:ascii="Tahoma" w:eastAsia="Times New Roman" w:hAnsi="Tahoma" w:cs="Tahoma"/>
          <w:noProof/>
        </w:rPr>
        <w:t xml:space="preserve">derived from </w:t>
      </w:r>
      <w:r w:rsidR="00627E57">
        <w:rPr>
          <w:rFonts w:ascii="Tahoma" w:eastAsia="Times New Roman" w:hAnsi="Tahoma" w:cs="Tahoma"/>
          <w:noProof/>
        </w:rPr>
        <w:t>work experience</w:t>
      </w:r>
      <w:r w:rsidR="00E41956" w:rsidRPr="009E5BF6">
        <w:rPr>
          <w:rFonts w:ascii="Tahoma" w:eastAsia="Times New Roman" w:hAnsi="Tahoma" w:cs="Tahoma"/>
          <w:noProof/>
        </w:rPr>
        <w:t xml:space="preserve"> and training.</w:t>
      </w:r>
    </w:p>
    <w:p w:rsidR="00C672D4" w:rsidRPr="009E5BF6" w:rsidRDefault="00C672D4" w:rsidP="00C672D4">
      <w:pPr>
        <w:tabs>
          <w:tab w:val="left" w:pos="0"/>
          <w:tab w:val="left" w:pos="540"/>
        </w:tabs>
        <w:spacing w:after="0"/>
        <w:jc w:val="both"/>
        <w:rPr>
          <w:rFonts w:ascii="Tahoma" w:eastAsia="Times New Roman" w:hAnsi="Tahoma" w:cs="Tahoma"/>
          <w:noProof/>
        </w:rPr>
      </w:pPr>
      <w:r>
        <w:rPr>
          <w:rFonts w:ascii="Tahoma" w:eastAsia="Times New Roman" w:hAnsi="Tahoma" w:cs="Tahoma"/>
          <w:noProof/>
        </w:rPr>
        <w:tab/>
        <w:t xml:space="preserve">The Prosper Waco initiative  is developing ideas and strategies </w:t>
      </w:r>
      <w:r w:rsidR="00D924EC">
        <w:rPr>
          <w:rFonts w:ascii="Tahoma" w:eastAsia="Times New Roman" w:hAnsi="Tahoma" w:cs="Tahoma"/>
          <w:noProof/>
        </w:rPr>
        <w:t>that</w:t>
      </w:r>
      <w:r>
        <w:rPr>
          <w:rFonts w:ascii="Tahoma" w:eastAsia="Times New Roman" w:hAnsi="Tahoma" w:cs="Tahoma"/>
          <w:noProof/>
        </w:rPr>
        <w:t xml:space="preserve"> enable younger workers to develop skills needed to gain entry and sustain employment in higher paying occupations</w:t>
      </w:r>
      <w:r w:rsidR="008E392F">
        <w:rPr>
          <w:rFonts w:ascii="Tahoma" w:eastAsia="Times New Roman" w:hAnsi="Tahoma" w:cs="Tahoma"/>
          <w:noProof/>
        </w:rPr>
        <w:t xml:space="preserve"> identified  by local</w:t>
      </w:r>
      <w:r>
        <w:rPr>
          <w:rFonts w:ascii="Tahoma" w:eastAsia="Times New Roman" w:hAnsi="Tahoma" w:cs="Tahoma"/>
          <w:noProof/>
        </w:rPr>
        <w:t xml:space="preserve"> employers</w:t>
      </w:r>
      <w:r w:rsidR="00D924EC">
        <w:rPr>
          <w:rFonts w:ascii="Tahoma" w:eastAsia="Times New Roman" w:hAnsi="Tahoma" w:cs="Tahoma"/>
          <w:noProof/>
        </w:rPr>
        <w:t xml:space="preserve"> that</w:t>
      </w:r>
      <w:r>
        <w:rPr>
          <w:rFonts w:ascii="Tahoma" w:eastAsia="Times New Roman" w:hAnsi="Tahoma" w:cs="Tahoma"/>
          <w:noProof/>
        </w:rPr>
        <w:t xml:space="preserve"> </w:t>
      </w:r>
      <w:r w:rsidR="008E392F">
        <w:rPr>
          <w:rFonts w:ascii="Tahoma" w:eastAsia="Times New Roman" w:hAnsi="Tahoma" w:cs="Tahoma"/>
          <w:noProof/>
        </w:rPr>
        <w:t>fac</w:t>
      </w:r>
      <w:r w:rsidR="00D924EC">
        <w:rPr>
          <w:rFonts w:ascii="Tahoma" w:eastAsia="Times New Roman" w:hAnsi="Tahoma" w:cs="Tahoma"/>
          <w:noProof/>
        </w:rPr>
        <w:t>e</w:t>
      </w:r>
      <w:r w:rsidR="008E392F">
        <w:rPr>
          <w:rFonts w:ascii="Tahoma" w:eastAsia="Times New Roman" w:hAnsi="Tahoma" w:cs="Tahoma"/>
          <w:noProof/>
        </w:rPr>
        <w:t xml:space="preserve"> </w:t>
      </w:r>
      <w:r w:rsidR="00D924EC">
        <w:rPr>
          <w:rFonts w:ascii="Tahoma" w:eastAsia="Times New Roman" w:hAnsi="Tahoma" w:cs="Tahoma"/>
          <w:noProof/>
        </w:rPr>
        <w:t xml:space="preserve">a </w:t>
      </w:r>
      <w:r w:rsidR="008E392F">
        <w:rPr>
          <w:rFonts w:ascii="Tahoma" w:eastAsia="Times New Roman" w:hAnsi="Tahoma" w:cs="Tahoma"/>
          <w:noProof/>
        </w:rPr>
        <w:t>shortage of skill-matching applicants.</w:t>
      </w:r>
    </w:p>
    <w:p w:rsidR="009E5BF6" w:rsidRDefault="009E5BF6" w:rsidP="00E41956">
      <w:pPr>
        <w:tabs>
          <w:tab w:val="left" w:pos="0"/>
        </w:tabs>
        <w:spacing w:after="0"/>
        <w:jc w:val="both"/>
        <w:rPr>
          <w:rFonts w:ascii="Tahoma" w:eastAsia="Times New Roman" w:hAnsi="Tahoma" w:cs="Tahoma"/>
          <w:noProof/>
          <w:sz w:val="24"/>
          <w:szCs w:val="24"/>
        </w:rPr>
        <w:sectPr w:rsidR="009E5BF6" w:rsidSect="00A71D1E">
          <w:type w:val="continuous"/>
          <w:pgSz w:w="12240" w:h="15840"/>
          <w:pgMar w:top="1440" w:right="1350" w:bottom="1440" w:left="2070" w:header="720" w:footer="720" w:gutter="0"/>
          <w:cols w:num="2" w:space="720"/>
          <w:docGrid w:linePitch="360"/>
        </w:sectPr>
      </w:pPr>
    </w:p>
    <w:p w:rsidR="00E41956" w:rsidRDefault="003D7CC9" w:rsidP="003D7CC9">
      <w:pPr>
        <w:tabs>
          <w:tab w:val="left" w:pos="0"/>
        </w:tabs>
        <w:spacing w:after="120"/>
        <w:jc w:val="both"/>
        <w:rPr>
          <w:rFonts w:ascii="Tahoma" w:eastAsia="Times New Roman" w:hAnsi="Tahoma" w:cs="Tahoma"/>
          <w:noProof/>
          <w:sz w:val="24"/>
          <w:szCs w:val="24"/>
        </w:rPr>
        <w:sectPr w:rsidR="00E41956" w:rsidSect="003D7CC9">
          <w:type w:val="continuous"/>
          <w:pgSz w:w="12240" w:h="15840"/>
          <w:pgMar w:top="1440" w:right="1350" w:bottom="1440" w:left="2070" w:header="720" w:footer="720" w:gutter="0"/>
          <w:cols w:space="720"/>
          <w:docGrid w:linePitch="360"/>
        </w:sectPr>
      </w:pPr>
      <w:r w:rsidRPr="00A71D1E">
        <w:rPr>
          <w:rFonts w:ascii="Tahoma" w:hAnsi="Tahoma" w:cs="Tahoma"/>
          <w:sz w:val="28"/>
          <w:szCs w:val="28"/>
        </w:rPr>
        <w:lastRenderedPageBreak/>
        <w:t>Manufacturing</w:t>
      </w:r>
      <w:r w:rsidR="00E41956" w:rsidRPr="00A71D1E">
        <w:rPr>
          <w:rFonts w:ascii="Tahoma" w:eastAsia="Times New Roman" w:hAnsi="Tahoma" w:cs="Tahoma"/>
          <w:noProof/>
          <w:sz w:val="24"/>
          <w:szCs w:val="24"/>
        </w:rPr>
        <w:t xml:space="preserve"> </w:t>
      </w:r>
    </w:p>
    <w:p w:rsidR="009F0A83" w:rsidRDefault="00B90B74" w:rsidP="009F0A83">
      <w:pPr>
        <w:tabs>
          <w:tab w:val="left" w:pos="0"/>
          <w:tab w:val="left" w:pos="540"/>
          <w:tab w:val="left" w:pos="630"/>
        </w:tabs>
        <w:spacing w:after="0"/>
        <w:jc w:val="both"/>
        <w:rPr>
          <w:rFonts w:ascii="Tahoma" w:hAnsi="Tahoma" w:cs="Tahoma"/>
        </w:rPr>
      </w:pPr>
      <w:r w:rsidRPr="00A71D1E">
        <w:rPr>
          <w:rFonts w:ascii="Tahoma" w:hAnsi="Tahoma" w:cs="Tahoma"/>
          <w:sz w:val="26"/>
          <w:szCs w:val="26"/>
        </w:rPr>
        <w:lastRenderedPageBreak/>
        <w:tab/>
      </w:r>
      <w:r w:rsidR="00153F3C" w:rsidRPr="009F0A83">
        <w:rPr>
          <w:rFonts w:ascii="Tahoma" w:hAnsi="Tahoma" w:cs="Tahoma"/>
        </w:rPr>
        <w:t>Historically, the manufacturing se</w:t>
      </w:r>
      <w:r w:rsidR="00153F3C" w:rsidRPr="009F0A83">
        <w:rPr>
          <w:rFonts w:ascii="Tahoma" w:hAnsi="Tahoma" w:cs="Tahoma"/>
        </w:rPr>
        <w:t>c</w:t>
      </w:r>
      <w:r w:rsidR="00153F3C" w:rsidRPr="009F0A83">
        <w:rPr>
          <w:rFonts w:ascii="Tahoma" w:hAnsi="Tahoma" w:cs="Tahoma"/>
        </w:rPr>
        <w:t>tor has been a major contributor to e</w:t>
      </w:r>
      <w:r w:rsidR="00153F3C" w:rsidRPr="009F0A83">
        <w:rPr>
          <w:rFonts w:ascii="Tahoma" w:hAnsi="Tahoma" w:cs="Tahoma"/>
        </w:rPr>
        <w:t>m</w:t>
      </w:r>
      <w:r w:rsidR="00153F3C" w:rsidRPr="009F0A83">
        <w:rPr>
          <w:rFonts w:ascii="Tahoma" w:hAnsi="Tahoma" w:cs="Tahoma"/>
        </w:rPr>
        <w:t>ployment and income in the Waco eco</w:t>
      </w:r>
      <w:r w:rsidR="00153F3C" w:rsidRPr="009F0A83">
        <w:rPr>
          <w:rFonts w:ascii="Tahoma" w:hAnsi="Tahoma" w:cs="Tahoma"/>
        </w:rPr>
        <w:t>n</w:t>
      </w:r>
      <w:r w:rsidR="00153F3C" w:rsidRPr="009F0A83">
        <w:rPr>
          <w:rFonts w:ascii="Tahoma" w:hAnsi="Tahoma" w:cs="Tahoma"/>
        </w:rPr>
        <w:t xml:space="preserve">omy. </w:t>
      </w:r>
      <w:r w:rsidR="00B9500B" w:rsidRPr="009F0A83">
        <w:rPr>
          <w:rFonts w:ascii="Tahoma" w:hAnsi="Tahoma" w:cs="Tahoma"/>
        </w:rPr>
        <w:t xml:space="preserve"> </w:t>
      </w:r>
      <w:r w:rsidR="00852EFF" w:rsidRPr="009F0A83">
        <w:rPr>
          <w:rFonts w:ascii="Tahoma" w:hAnsi="Tahoma" w:cs="Tahoma"/>
        </w:rPr>
        <w:t>Waco is fortunate to have an i</w:t>
      </w:r>
      <w:r w:rsidR="00852EFF" w:rsidRPr="009F0A83">
        <w:rPr>
          <w:rFonts w:ascii="Tahoma" w:hAnsi="Tahoma" w:cs="Tahoma"/>
        </w:rPr>
        <w:t>n</w:t>
      </w:r>
      <w:r w:rsidR="00852EFF" w:rsidRPr="009F0A83">
        <w:rPr>
          <w:rFonts w:ascii="Tahoma" w:hAnsi="Tahoma" w:cs="Tahoma"/>
        </w:rPr>
        <w:t xml:space="preserve">tensive and diversified manufacturing sector that is relatively stable, so that while not </w:t>
      </w:r>
      <w:r w:rsidR="00A71D1E" w:rsidRPr="009F0A83">
        <w:rPr>
          <w:rFonts w:ascii="Tahoma" w:hAnsi="Tahoma" w:cs="Tahoma"/>
        </w:rPr>
        <w:t xml:space="preserve">directly </w:t>
      </w:r>
      <w:r w:rsidR="00852EFF" w:rsidRPr="009F0A83">
        <w:rPr>
          <w:rFonts w:ascii="Tahoma" w:hAnsi="Tahoma" w:cs="Tahoma"/>
        </w:rPr>
        <w:t>benefitt</w:t>
      </w:r>
      <w:r w:rsidR="00A71D1E" w:rsidRPr="009F0A83">
        <w:rPr>
          <w:rFonts w:ascii="Tahoma" w:hAnsi="Tahoma" w:cs="Tahoma"/>
        </w:rPr>
        <w:t>ing</w:t>
      </w:r>
      <w:r w:rsidR="00852EFF" w:rsidRPr="009F0A83">
        <w:rPr>
          <w:rFonts w:ascii="Tahoma" w:hAnsi="Tahoma" w:cs="Tahoma"/>
        </w:rPr>
        <w:t xml:space="preserve"> from</w:t>
      </w:r>
      <w:r w:rsidR="00A71D1E" w:rsidRPr="009F0A83">
        <w:rPr>
          <w:rFonts w:ascii="Tahoma" w:hAnsi="Tahoma" w:cs="Tahoma"/>
        </w:rPr>
        <w:t xml:space="preserve"> the </w:t>
      </w:r>
      <w:r w:rsidR="00D21DCD" w:rsidRPr="009F0A83">
        <w:rPr>
          <w:rFonts w:ascii="Tahoma" w:hAnsi="Tahoma" w:cs="Tahoma"/>
        </w:rPr>
        <w:t>b</w:t>
      </w:r>
      <w:r w:rsidR="00A71D1E" w:rsidRPr="009F0A83">
        <w:rPr>
          <w:rFonts w:ascii="Tahoma" w:hAnsi="Tahoma" w:cs="Tahoma"/>
        </w:rPr>
        <w:t>oom in</w:t>
      </w:r>
      <w:r w:rsidR="00852EFF" w:rsidRPr="009F0A83">
        <w:rPr>
          <w:rFonts w:ascii="Tahoma" w:hAnsi="Tahoma" w:cs="Tahoma"/>
        </w:rPr>
        <w:t xml:space="preserve"> </w:t>
      </w:r>
      <w:r w:rsidR="00A71D1E" w:rsidRPr="009F0A83">
        <w:rPr>
          <w:rFonts w:ascii="Tahoma" w:hAnsi="Tahoma" w:cs="Tahoma"/>
        </w:rPr>
        <w:t>oil and gas</w:t>
      </w:r>
      <w:r w:rsidR="00852EFF" w:rsidRPr="009F0A83">
        <w:rPr>
          <w:rFonts w:ascii="Tahoma" w:hAnsi="Tahoma" w:cs="Tahoma"/>
        </w:rPr>
        <w:t xml:space="preserve"> </w:t>
      </w:r>
      <w:r w:rsidR="00A71D1E" w:rsidRPr="009F0A83">
        <w:rPr>
          <w:rFonts w:ascii="Tahoma" w:hAnsi="Tahoma" w:cs="Tahoma"/>
        </w:rPr>
        <w:t>production</w:t>
      </w:r>
      <w:r w:rsidR="00D21DCD" w:rsidRPr="009F0A83">
        <w:rPr>
          <w:rFonts w:ascii="Tahoma" w:hAnsi="Tahoma" w:cs="Tahoma"/>
        </w:rPr>
        <w:t xml:space="preserve"> that </w:t>
      </w:r>
      <w:r w:rsidR="009F0A83">
        <w:rPr>
          <w:rFonts w:ascii="Tahoma" w:hAnsi="Tahoma" w:cs="Tahoma"/>
        </w:rPr>
        <w:t>led</w:t>
      </w:r>
      <w:r w:rsidR="00D21DCD" w:rsidRPr="009F0A83">
        <w:rPr>
          <w:rFonts w:ascii="Tahoma" w:hAnsi="Tahoma" w:cs="Tahoma"/>
        </w:rPr>
        <w:t xml:space="preserve"> the Texas post-recession recovery, Waco</w:t>
      </w:r>
      <w:r w:rsidR="00852EFF" w:rsidRPr="009F0A83">
        <w:rPr>
          <w:rFonts w:ascii="Tahoma" w:hAnsi="Tahoma" w:cs="Tahoma"/>
        </w:rPr>
        <w:t xml:space="preserve"> has not </w:t>
      </w:r>
      <w:r w:rsidR="00D21DCD" w:rsidRPr="009F0A83">
        <w:rPr>
          <w:rFonts w:ascii="Tahoma" w:hAnsi="Tahoma" w:cs="Tahoma"/>
        </w:rPr>
        <w:t>suffered from</w:t>
      </w:r>
      <w:r w:rsidR="00852EFF" w:rsidRPr="009F0A83">
        <w:rPr>
          <w:rFonts w:ascii="Tahoma" w:hAnsi="Tahoma" w:cs="Tahoma"/>
        </w:rPr>
        <w:t xml:space="preserve"> the recent dow</w:t>
      </w:r>
      <w:r w:rsidR="00852EFF" w:rsidRPr="009F0A83">
        <w:rPr>
          <w:rFonts w:ascii="Tahoma" w:hAnsi="Tahoma" w:cs="Tahoma"/>
        </w:rPr>
        <w:t>n</w:t>
      </w:r>
      <w:r w:rsidR="00852EFF" w:rsidRPr="009F0A83">
        <w:rPr>
          <w:rFonts w:ascii="Tahoma" w:hAnsi="Tahoma" w:cs="Tahoma"/>
        </w:rPr>
        <w:t>turn in energy production</w:t>
      </w:r>
      <w:r w:rsidR="009F0A83">
        <w:rPr>
          <w:rFonts w:ascii="Tahoma" w:hAnsi="Tahoma" w:cs="Tahoma"/>
        </w:rPr>
        <w:t>.  Inde</w:t>
      </w:r>
      <w:r w:rsidR="00A12BF1">
        <w:rPr>
          <w:rFonts w:ascii="Tahoma" w:hAnsi="Tahoma" w:cs="Tahoma"/>
        </w:rPr>
        <w:t>ed, as an importer of petroleum-</w:t>
      </w:r>
      <w:r w:rsidR="009F0A83">
        <w:rPr>
          <w:rFonts w:ascii="Tahoma" w:hAnsi="Tahoma" w:cs="Tahoma"/>
        </w:rPr>
        <w:t>based products the lower price of gasoline has increased disposable income and spending by area households.</w:t>
      </w:r>
      <w:r w:rsidR="00852EFF" w:rsidRPr="009F0A83">
        <w:rPr>
          <w:rFonts w:ascii="Tahoma" w:hAnsi="Tahoma" w:cs="Tahoma"/>
        </w:rPr>
        <w:t xml:space="preserve">   </w:t>
      </w:r>
    </w:p>
    <w:p w:rsidR="008E56F0" w:rsidRDefault="009F0A83" w:rsidP="009F0A83">
      <w:pPr>
        <w:tabs>
          <w:tab w:val="left" w:pos="0"/>
          <w:tab w:val="left" w:pos="540"/>
        </w:tabs>
        <w:spacing w:after="0"/>
        <w:jc w:val="both"/>
        <w:rPr>
          <w:rFonts w:ascii="Tahoma" w:hAnsi="Tahoma" w:cs="Tahoma"/>
        </w:rPr>
      </w:pPr>
      <w:r>
        <w:rPr>
          <w:rFonts w:ascii="Tahoma" w:hAnsi="Tahoma" w:cs="Tahoma"/>
        </w:rPr>
        <w:tab/>
        <w:t>F</w:t>
      </w:r>
      <w:r w:rsidR="00875197" w:rsidRPr="009F0A83">
        <w:rPr>
          <w:rFonts w:ascii="Tahoma" w:hAnsi="Tahoma" w:cs="Tahoma"/>
        </w:rPr>
        <w:t xml:space="preserve">igure </w:t>
      </w:r>
      <w:r w:rsidR="00D21DCD" w:rsidRPr="009F0A83">
        <w:rPr>
          <w:rFonts w:ascii="Tahoma" w:hAnsi="Tahoma" w:cs="Tahoma"/>
        </w:rPr>
        <w:t>5</w:t>
      </w:r>
      <w:r w:rsidR="00A33CBC">
        <w:rPr>
          <w:rFonts w:ascii="Tahoma" w:hAnsi="Tahoma" w:cs="Tahoma"/>
        </w:rPr>
        <w:t xml:space="preserve"> shows that while</w:t>
      </w:r>
      <w:r w:rsidR="00677F3C" w:rsidRPr="009F0A83">
        <w:rPr>
          <w:rFonts w:ascii="Tahoma" w:hAnsi="Tahoma" w:cs="Tahoma"/>
        </w:rPr>
        <w:t xml:space="preserve"> </w:t>
      </w:r>
      <w:r w:rsidR="008E56F0">
        <w:rPr>
          <w:rFonts w:ascii="Tahoma" w:hAnsi="Tahoma" w:cs="Tahoma"/>
        </w:rPr>
        <w:t xml:space="preserve">the </w:t>
      </w:r>
      <w:r w:rsidR="00677F3C" w:rsidRPr="009F0A83">
        <w:rPr>
          <w:rFonts w:ascii="Tahoma" w:hAnsi="Tahoma" w:cs="Tahoma"/>
        </w:rPr>
        <w:t>ma</w:t>
      </w:r>
      <w:r w:rsidR="00677F3C" w:rsidRPr="009F0A83">
        <w:rPr>
          <w:rFonts w:ascii="Tahoma" w:hAnsi="Tahoma" w:cs="Tahoma"/>
        </w:rPr>
        <w:t>n</w:t>
      </w:r>
      <w:r w:rsidR="00677F3C" w:rsidRPr="009F0A83">
        <w:rPr>
          <w:rFonts w:ascii="Tahoma" w:hAnsi="Tahoma" w:cs="Tahoma"/>
        </w:rPr>
        <w:t xml:space="preserve">ufacturing sector </w:t>
      </w:r>
      <w:r w:rsidR="00A33CBC">
        <w:rPr>
          <w:rFonts w:ascii="Tahoma" w:hAnsi="Tahoma" w:cs="Tahoma"/>
        </w:rPr>
        <w:t xml:space="preserve">has not faced the </w:t>
      </w:r>
      <w:r w:rsidR="0063797C">
        <w:rPr>
          <w:rFonts w:ascii="Tahoma" w:hAnsi="Tahoma" w:cs="Tahoma"/>
        </w:rPr>
        <w:t>infl</w:t>
      </w:r>
      <w:r w:rsidR="0063797C">
        <w:rPr>
          <w:rFonts w:ascii="Tahoma" w:hAnsi="Tahoma" w:cs="Tahoma"/>
        </w:rPr>
        <w:t>u</w:t>
      </w:r>
      <w:r w:rsidR="0063797C">
        <w:rPr>
          <w:rFonts w:ascii="Tahoma" w:hAnsi="Tahoma" w:cs="Tahoma"/>
        </w:rPr>
        <w:t>ence</w:t>
      </w:r>
      <w:r w:rsidR="00A33CBC">
        <w:rPr>
          <w:rFonts w:ascii="Tahoma" w:hAnsi="Tahoma" w:cs="Tahoma"/>
        </w:rPr>
        <w:t xml:space="preserve"> of falling oil prices </w:t>
      </w:r>
      <w:r w:rsidR="0063797C">
        <w:rPr>
          <w:rFonts w:ascii="Tahoma" w:hAnsi="Tahoma" w:cs="Tahoma"/>
        </w:rPr>
        <w:t>on revenues</w:t>
      </w:r>
      <w:r w:rsidR="00C336F5">
        <w:rPr>
          <w:rFonts w:ascii="Tahoma" w:hAnsi="Tahoma" w:cs="Tahoma"/>
        </w:rPr>
        <w:t>,</w:t>
      </w:r>
      <w:r w:rsidR="0063797C">
        <w:rPr>
          <w:rFonts w:ascii="Tahoma" w:hAnsi="Tahoma" w:cs="Tahoma"/>
        </w:rPr>
        <w:t xml:space="preserve"> </w:t>
      </w:r>
      <w:r w:rsidR="00A33CBC">
        <w:rPr>
          <w:rFonts w:ascii="Tahoma" w:hAnsi="Tahoma" w:cs="Tahoma"/>
        </w:rPr>
        <w:t xml:space="preserve">some </w:t>
      </w:r>
      <w:r w:rsidR="0063797C">
        <w:rPr>
          <w:rFonts w:ascii="Tahoma" w:hAnsi="Tahoma" w:cs="Tahoma"/>
        </w:rPr>
        <w:t>sectors</w:t>
      </w:r>
      <w:r w:rsidR="00A33CBC">
        <w:rPr>
          <w:rFonts w:ascii="Tahoma" w:hAnsi="Tahoma" w:cs="Tahoma"/>
        </w:rPr>
        <w:t xml:space="preserve"> have been adversely a</w:t>
      </w:r>
      <w:r w:rsidR="00A33CBC">
        <w:rPr>
          <w:rFonts w:ascii="Tahoma" w:hAnsi="Tahoma" w:cs="Tahoma"/>
        </w:rPr>
        <w:t>f</w:t>
      </w:r>
      <w:r w:rsidR="00A33CBC">
        <w:rPr>
          <w:rFonts w:ascii="Tahoma" w:hAnsi="Tahoma" w:cs="Tahoma"/>
        </w:rPr>
        <w:t>fected by the defense budget sequester, the rising value of the dollar, and</w:t>
      </w:r>
      <w:r w:rsidR="0063797C">
        <w:rPr>
          <w:rFonts w:ascii="Tahoma" w:hAnsi="Tahoma" w:cs="Tahoma"/>
        </w:rPr>
        <w:t xml:space="preserve"> the</w:t>
      </w:r>
      <w:r w:rsidR="00677F3C" w:rsidRPr="009F0A83">
        <w:rPr>
          <w:rFonts w:ascii="Tahoma" w:hAnsi="Tahoma" w:cs="Tahoma"/>
        </w:rPr>
        <w:t xml:space="preserve"> slow</w:t>
      </w:r>
      <w:r w:rsidR="0064186D" w:rsidRPr="009F0A83">
        <w:rPr>
          <w:rFonts w:ascii="Tahoma" w:hAnsi="Tahoma" w:cs="Tahoma"/>
        </w:rPr>
        <w:t>ing</w:t>
      </w:r>
      <w:r w:rsidR="00677F3C" w:rsidRPr="009F0A83">
        <w:rPr>
          <w:rFonts w:ascii="Tahoma" w:hAnsi="Tahoma" w:cs="Tahoma"/>
        </w:rPr>
        <w:t xml:space="preserve"> global demand for U.S. manufa</w:t>
      </w:r>
      <w:r w:rsidR="00677F3C" w:rsidRPr="009F0A83">
        <w:rPr>
          <w:rFonts w:ascii="Tahoma" w:hAnsi="Tahoma" w:cs="Tahoma"/>
        </w:rPr>
        <w:t>c</w:t>
      </w:r>
      <w:r w:rsidR="00677F3C" w:rsidRPr="009F0A83">
        <w:rPr>
          <w:rFonts w:ascii="Tahoma" w:hAnsi="Tahoma" w:cs="Tahoma"/>
        </w:rPr>
        <w:t xml:space="preserve">tured goods </w:t>
      </w:r>
      <w:r w:rsidR="006F4B33" w:rsidRPr="009F0A83">
        <w:rPr>
          <w:rFonts w:ascii="Tahoma" w:hAnsi="Tahoma" w:cs="Tahoma"/>
        </w:rPr>
        <w:t xml:space="preserve">in Europe and other parts of </w:t>
      </w:r>
    </w:p>
    <w:p w:rsidR="001F5508" w:rsidRPr="009F0A83" w:rsidRDefault="0009390C" w:rsidP="009F0A83">
      <w:pPr>
        <w:tabs>
          <w:tab w:val="left" w:pos="0"/>
          <w:tab w:val="left" w:pos="540"/>
        </w:tabs>
        <w:spacing w:after="0"/>
        <w:jc w:val="both"/>
        <w:rPr>
          <w:rFonts w:ascii="Tahoma" w:hAnsi="Tahoma" w:cs="Tahoma"/>
        </w:rPr>
      </w:pPr>
      <w:r>
        <w:rPr>
          <w:rFonts w:ascii="Tahoma" w:hAnsi="Tahoma" w:cs="Tahoma"/>
        </w:rPr>
        <w:lastRenderedPageBreak/>
        <w:t>the global economy</w:t>
      </w:r>
      <w:r w:rsidR="00A0301E" w:rsidRPr="009F0A83">
        <w:rPr>
          <w:rFonts w:ascii="Tahoma" w:hAnsi="Tahoma" w:cs="Tahoma"/>
        </w:rPr>
        <w:t xml:space="preserve">. </w:t>
      </w:r>
      <w:r w:rsidR="002A01F8" w:rsidRPr="009F0A83">
        <w:rPr>
          <w:rFonts w:ascii="Tahoma" w:hAnsi="Tahoma" w:cs="Tahoma"/>
        </w:rPr>
        <w:t xml:space="preserve"> </w:t>
      </w:r>
    </w:p>
    <w:p w:rsidR="00A71D1E" w:rsidRDefault="001F5508" w:rsidP="0063797C">
      <w:pPr>
        <w:tabs>
          <w:tab w:val="left" w:pos="0"/>
          <w:tab w:val="left" w:pos="540"/>
        </w:tabs>
        <w:spacing w:after="0"/>
        <w:jc w:val="both"/>
        <w:rPr>
          <w:rFonts w:ascii="Tahoma" w:hAnsi="Tahoma" w:cs="Tahoma"/>
        </w:rPr>
      </w:pPr>
      <w:r w:rsidRPr="009F0A83">
        <w:rPr>
          <w:rFonts w:ascii="Tahoma" w:hAnsi="Tahoma" w:cs="Tahoma"/>
        </w:rPr>
        <w:tab/>
      </w:r>
      <w:r w:rsidR="00A33CBC">
        <w:rPr>
          <w:rFonts w:ascii="Tahoma" w:hAnsi="Tahoma" w:cs="Tahoma"/>
        </w:rPr>
        <w:t>In addition to demand forces a</w:t>
      </w:r>
      <w:r w:rsidRPr="009F0A83">
        <w:rPr>
          <w:rFonts w:ascii="Tahoma" w:hAnsi="Tahoma" w:cs="Tahoma"/>
        </w:rPr>
        <w:t xml:space="preserve"> si</w:t>
      </w:r>
      <w:r w:rsidRPr="009F0A83">
        <w:rPr>
          <w:rFonts w:ascii="Tahoma" w:hAnsi="Tahoma" w:cs="Tahoma"/>
        </w:rPr>
        <w:t>g</w:t>
      </w:r>
      <w:r w:rsidRPr="009F0A83">
        <w:rPr>
          <w:rFonts w:ascii="Tahoma" w:hAnsi="Tahoma" w:cs="Tahoma"/>
        </w:rPr>
        <w:t xml:space="preserve">nificant reason for fewer manufacturing jobs is the increase in labor productivity that has increased output per </w:t>
      </w:r>
      <w:r w:rsidR="00A33CBC">
        <w:rPr>
          <w:rFonts w:ascii="Tahoma" w:hAnsi="Tahoma" w:cs="Tahoma"/>
        </w:rPr>
        <w:t>worker</w:t>
      </w:r>
      <w:r w:rsidR="008E56F0">
        <w:rPr>
          <w:rFonts w:ascii="Tahoma" w:hAnsi="Tahoma" w:cs="Tahoma"/>
        </w:rPr>
        <w:t xml:space="preserve">.  </w:t>
      </w:r>
      <w:r w:rsidR="00A12BF1">
        <w:rPr>
          <w:rFonts w:ascii="Tahoma" w:hAnsi="Tahoma" w:cs="Tahoma"/>
        </w:rPr>
        <w:t>Firms have been able to</w:t>
      </w:r>
      <w:r w:rsidR="008E56F0">
        <w:rPr>
          <w:rFonts w:ascii="Tahoma" w:hAnsi="Tahoma" w:cs="Tahoma"/>
        </w:rPr>
        <w:t xml:space="preserve"> </w:t>
      </w:r>
      <w:r w:rsidR="00A12BF1">
        <w:rPr>
          <w:rFonts w:ascii="Tahoma" w:hAnsi="Tahoma" w:cs="Tahoma"/>
        </w:rPr>
        <w:t xml:space="preserve">outsource </w:t>
      </w:r>
      <w:r w:rsidR="00C40877" w:rsidRPr="009F0A83">
        <w:rPr>
          <w:rFonts w:ascii="Tahoma" w:hAnsi="Tahoma" w:cs="Tahoma"/>
        </w:rPr>
        <w:t>no</w:t>
      </w:r>
      <w:r w:rsidR="00C40877" w:rsidRPr="009F0A83">
        <w:rPr>
          <w:rFonts w:ascii="Tahoma" w:hAnsi="Tahoma" w:cs="Tahoma"/>
        </w:rPr>
        <w:t>n</w:t>
      </w:r>
      <w:r w:rsidR="00C40877" w:rsidRPr="009F0A83">
        <w:rPr>
          <w:rFonts w:ascii="Tahoma" w:hAnsi="Tahoma" w:cs="Tahoma"/>
        </w:rPr>
        <w:t>production jobs</w:t>
      </w:r>
      <w:r w:rsidR="00A33CBC">
        <w:rPr>
          <w:rFonts w:ascii="Tahoma" w:hAnsi="Tahoma" w:cs="Tahoma"/>
        </w:rPr>
        <w:t>, such as waste manag</w:t>
      </w:r>
      <w:r w:rsidR="00A33CBC">
        <w:rPr>
          <w:rFonts w:ascii="Tahoma" w:hAnsi="Tahoma" w:cs="Tahoma"/>
        </w:rPr>
        <w:t>e</w:t>
      </w:r>
      <w:r w:rsidR="0009390C">
        <w:rPr>
          <w:rFonts w:ascii="Tahoma" w:hAnsi="Tahoma" w:cs="Tahoma"/>
        </w:rPr>
        <w:t>ment,</w:t>
      </w:r>
      <w:r w:rsidR="00A33CBC">
        <w:rPr>
          <w:rFonts w:ascii="Tahoma" w:hAnsi="Tahoma" w:cs="Tahoma"/>
        </w:rPr>
        <w:t xml:space="preserve"> that</w:t>
      </w:r>
      <w:r w:rsidR="00C40877" w:rsidRPr="009F0A83">
        <w:rPr>
          <w:rFonts w:ascii="Tahoma" w:hAnsi="Tahoma" w:cs="Tahoma"/>
        </w:rPr>
        <w:t xml:space="preserve"> previously </w:t>
      </w:r>
      <w:r w:rsidR="00EC1B46">
        <w:rPr>
          <w:rFonts w:ascii="Tahoma" w:hAnsi="Tahoma" w:cs="Tahoma"/>
        </w:rPr>
        <w:t>were</w:t>
      </w:r>
      <w:r w:rsidR="0009390C">
        <w:rPr>
          <w:rFonts w:ascii="Tahoma" w:hAnsi="Tahoma" w:cs="Tahoma"/>
        </w:rPr>
        <w:t xml:space="preserve"> labeled as manufacturing</w:t>
      </w:r>
      <w:r w:rsidR="00EC1B46">
        <w:rPr>
          <w:rFonts w:ascii="Tahoma" w:hAnsi="Tahoma" w:cs="Tahoma"/>
        </w:rPr>
        <w:t xml:space="preserve"> </w:t>
      </w:r>
      <w:r w:rsidR="008E56F0">
        <w:rPr>
          <w:rFonts w:ascii="Tahoma" w:hAnsi="Tahoma" w:cs="Tahoma"/>
        </w:rPr>
        <w:t>jobs</w:t>
      </w:r>
      <w:r w:rsidR="00C336F5">
        <w:rPr>
          <w:rFonts w:ascii="Tahoma" w:hAnsi="Tahoma" w:cs="Tahoma"/>
        </w:rPr>
        <w:t xml:space="preserve"> into the category of jobs by local establishments that provide </w:t>
      </w:r>
      <w:r w:rsidR="0009390C">
        <w:rPr>
          <w:rFonts w:ascii="Tahoma" w:hAnsi="Tahoma" w:cs="Tahoma"/>
        </w:rPr>
        <w:t>professional and business services</w:t>
      </w:r>
      <w:r w:rsidR="00C336F5">
        <w:rPr>
          <w:rFonts w:ascii="Tahoma" w:hAnsi="Tahoma" w:cs="Tahoma"/>
        </w:rPr>
        <w:t xml:space="preserve"> </w:t>
      </w:r>
      <w:r w:rsidR="0009390C">
        <w:rPr>
          <w:rFonts w:ascii="Tahoma" w:hAnsi="Tahoma" w:cs="Tahoma"/>
        </w:rPr>
        <w:t xml:space="preserve">on a contract basis. </w:t>
      </w:r>
    </w:p>
    <w:p w:rsidR="00CC7086" w:rsidRDefault="0063797C" w:rsidP="00A12BF1">
      <w:pPr>
        <w:tabs>
          <w:tab w:val="left" w:pos="0"/>
          <w:tab w:val="left" w:pos="540"/>
        </w:tabs>
        <w:spacing w:after="0"/>
        <w:jc w:val="both"/>
        <w:rPr>
          <w:rFonts w:ascii="Tahoma" w:hAnsi="Tahoma" w:cs="Tahoma"/>
        </w:rPr>
      </w:pPr>
      <w:r>
        <w:rPr>
          <w:rFonts w:ascii="Tahoma" w:hAnsi="Tahoma" w:cs="Tahoma"/>
        </w:rPr>
        <w:tab/>
        <w:t>Waco is</w:t>
      </w:r>
      <w:r w:rsidR="0009390C">
        <w:rPr>
          <w:rFonts w:ascii="Tahoma" w:hAnsi="Tahoma" w:cs="Tahoma"/>
        </w:rPr>
        <w:t xml:space="preserve"> also fortunate</w:t>
      </w:r>
      <w:r>
        <w:rPr>
          <w:rFonts w:ascii="Tahoma" w:hAnsi="Tahoma" w:cs="Tahoma"/>
        </w:rPr>
        <w:t xml:space="preserve"> that the rel</w:t>
      </w:r>
      <w:r>
        <w:rPr>
          <w:rFonts w:ascii="Tahoma" w:hAnsi="Tahoma" w:cs="Tahoma"/>
        </w:rPr>
        <w:t>a</w:t>
      </w:r>
      <w:r>
        <w:rPr>
          <w:rFonts w:ascii="Tahoma" w:hAnsi="Tahoma" w:cs="Tahoma"/>
        </w:rPr>
        <w:t xml:space="preserve">tively large and diversified </w:t>
      </w:r>
      <w:r w:rsidR="00F31BAE">
        <w:rPr>
          <w:rFonts w:ascii="Tahoma" w:hAnsi="Tahoma" w:cs="Tahoma"/>
        </w:rPr>
        <w:t xml:space="preserve">manufacturing sector is </w:t>
      </w:r>
      <w:r>
        <w:rPr>
          <w:rFonts w:ascii="Tahoma" w:hAnsi="Tahoma" w:cs="Tahoma"/>
        </w:rPr>
        <w:t xml:space="preserve">enabling firms to benefit from </w:t>
      </w:r>
      <w:r w:rsidR="0009390C">
        <w:rPr>
          <w:rFonts w:ascii="Tahoma" w:hAnsi="Tahoma" w:cs="Tahoma"/>
        </w:rPr>
        <w:t xml:space="preserve">supply chain management </w:t>
      </w:r>
      <w:r w:rsidR="00F31BAE">
        <w:rPr>
          <w:rFonts w:ascii="Tahoma" w:hAnsi="Tahoma" w:cs="Tahoma"/>
        </w:rPr>
        <w:t>that enhances</w:t>
      </w:r>
      <w:r w:rsidR="00CC7086">
        <w:rPr>
          <w:rFonts w:ascii="Tahoma" w:hAnsi="Tahoma" w:cs="Tahoma"/>
        </w:rPr>
        <w:t xml:space="preserve"> </w:t>
      </w:r>
      <w:r>
        <w:rPr>
          <w:rFonts w:ascii="Tahoma" w:hAnsi="Tahoma" w:cs="Tahoma"/>
        </w:rPr>
        <w:t>net revenue by</w:t>
      </w:r>
      <w:r w:rsidR="002033AA">
        <w:rPr>
          <w:rFonts w:ascii="Tahoma" w:hAnsi="Tahoma" w:cs="Tahoma"/>
        </w:rPr>
        <w:t xml:space="preserve"> </w:t>
      </w:r>
      <w:r w:rsidR="00F31BAE">
        <w:rPr>
          <w:rFonts w:ascii="Tahoma" w:hAnsi="Tahoma" w:cs="Tahoma"/>
        </w:rPr>
        <w:t>reducing resource costs.</w:t>
      </w:r>
      <w:r w:rsidR="002033AA">
        <w:rPr>
          <w:rFonts w:ascii="Tahoma" w:hAnsi="Tahoma" w:cs="Tahoma"/>
        </w:rPr>
        <w:t xml:space="preserve">  Rising labor productivity has enabled employers to pay higher wages per worker and even lower the cost of labor when there are temporary disruptions in market revenues.</w:t>
      </w:r>
    </w:p>
    <w:p w:rsidR="002033AA" w:rsidRDefault="002033AA" w:rsidP="0063797C">
      <w:pPr>
        <w:tabs>
          <w:tab w:val="left" w:pos="0"/>
          <w:tab w:val="left" w:pos="540"/>
        </w:tabs>
        <w:spacing w:after="120"/>
        <w:jc w:val="both"/>
        <w:rPr>
          <w:rFonts w:ascii="Tahoma" w:hAnsi="Tahoma" w:cs="Tahoma"/>
        </w:rPr>
        <w:sectPr w:rsidR="002033AA" w:rsidSect="00A71D1E">
          <w:type w:val="continuous"/>
          <w:pgSz w:w="12240" w:h="15840"/>
          <w:pgMar w:top="1440" w:right="1350" w:bottom="1440" w:left="2070" w:header="720" w:footer="720" w:gutter="0"/>
          <w:cols w:num="2" w:space="720"/>
          <w:docGrid w:linePitch="360"/>
        </w:sectPr>
      </w:pPr>
      <w:r>
        <w:rPr>
          <w:rFonts w:ascii="Tahoma" w:hAnsi="Tahoma" w:cs="Tahoma"/>
        </w:rPr>
        <w:t xml:space="preserve">  </w:t>
      </w:r>
    </w:p>
    <w:p w:rsidR="00875197" w:rsidRDefault="002033AA" w:rsidP="00B57AC7">
      <w:pPr>
        <w:tabs>
          <w:tab w:val="left" w:pos="0"/>
          <w:tab w:val="left" w:pos="540"/>
        </w:tabs>
        <w:spacing w:after="0" w:line="240" w:lineRule="auto"/>
        <w:jc w:val="both"/>
        <w:rPr>
          <w:sz w:val="24"/>
          <w:szCs w:val="24"/>
        </w:rPr>
      </w:pPr>
      <w:r>
        <w:rPr>
          <w:rFonts w:ascii="Tahoma" w:hAnsi="Tahoma" w:cs="Tahoma"/>
        </w:rPr>
        <w:lastRenderedPageBreak/>
        <w:t xml:space="preserve">  </w:t>
      </w:r>
      <w:r w:rsidR="00B57AC7">
        <w:rPr>
          <w:noProof/>
        </w:rPr>
        <w:drawing>
          <wp:inline distT="0" distB="0" distL="0" distR="0" wp14:anchorId="274616E8" wp14:editId="46E9886A">
            <wp:extent cx="5596569" cy="3029639"/>
            <wp:effectExtent l="0" t="0" r="23495" b="18415"/>
            <wp:docPr id="674" name="Chart 6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911F1" w:rsidRDefault="00875197" w:rsidP="00B57AC7">
      <w:pPr>
        <w:tabs>
          <w:tab w:val="left" w:pos="0"/>
        </w:tabs>
        <w:spacing w:after="0" w:line="240" w:lineRule="auto"/>
        <w:rPr>
          <w:rFonts w:ascii="Tahoma" w:hAnsi="Tahoma" w:cs="Tahoma"/>
          <w:sz w:val="18"/>
          <w:szCs w:val="18"/>
        </w:rPr>
        <w:sectPr w:rsidR="00D911F1" w:rsidSect="003E33D6">
          <w:type w:val="continuous"/>
          <w:pgSz w:w="12240" w:h="15840"/>
          <w:pgMar w:top="1440" w:right="1350" w:bottom="1440" w:left="2070" w:header="720" w:footer="720" w:gutter="0"/>
          <w:cols w:space="720"/>
          <w:docGrid w:linePitch="360"/>
        </w:sectPr>
      </w:pPr>
      <w:r w:rsidRPr="00D21DCD">
        <w:rPr>
          <w:rFonts w:ascii="Tahoma" w:hAnsi="Tahoma" w:cs="Tahoma"/>
          <w:sz w:val="18"/>
          <w:szCs w:val="18"/>
        </w:rPr>
        <w:t>Source:  U.S. Bureau of Labor Statistics</w:t>
      </w:r>
    </w:p>
    <w:p w:rsidR="00F31BAE" w:rsidRDefault="00013AFA" w:rsidP="002033AA">
      <w:pPr>
        <w:tabs>
          <w:tab w:val="left" w:pos="0"/>
        </w:tabs>
        <w:spacing w:after="0"/>
        <w:jc w:val="both"/>
        <w:rPr>
          <w:sz w:val="16"/>
          <w:szCs w:val="16"/>
        </w:rPr>
      </w:pPr>
      <w:r>
        <w:rPr>
          <w:rFonts w:ascii="Tahoma" w:hAnsi="Tahoma" w:cs="Tahoma"/>
          <w:sz w:val="24"/>
          <w:szCs w:val="24"/>
        </w:rPr>
        <w:lastRenderedPageBreak/>
        <w:tab/>
      </w:r>
      <w:r w:rsidR="001B4BC9">
        <w:rPr>
          <w:sz w:val="24"/>
          <w:szCs w:val="24"/>
        </w:rPr>
        <w:t xml:space="preserve"> </w:t>
      </w:r>
      <w:r w:rsidR="00FC3BC4" w:rsidRPr="00E91707">
        <w:rPr>
          <w:sz w:val="16"/>
          <w:szCs w:val="16"/>
        </w:rPr>
        <w:t xml:space="preserve"> </w:t>
      </w:r>
      <w:r w:rsidR="00EB5532" w:rsidRPr="00E91707">
        <w:rPr>
          <w:sz w:val="16"/>
          <w:szCs w:val="16"/>
        </w:rPr>
        <w:t xml:space="preserve">  </w:t>
      </w:r>
    </w:p>
    <w:p w:rsidR="003D7CC9" w:rsidRDefault="00FC3BC4" w:rsidP="002033AA">
      <w:pPr>
        <w:tabs>
          <w:tab w:val="left" w:pos="0"/>
        </w:tabs>
        <w:spacing w:after="0"/>
        <w:jc w:val="both"/>
        <w:rPr>
          <w:sz w:val="16"/>
          <w:szCs w:val="16"/>
        </w:rPr>
        <w:sectPr w:rsidR="003D7CC9" w:rsidSect="003D7CC9">
          <w:type w:val="continuous"/>
          <w:pgSz w:w="12240" w:h="15840"/>
          <w:pgMar w:top="1440" w:right="1350" w:bottom="1440" w:left="2070" w:header="720" w:footer="720" w:gutter="0"/>
          <w:cols w:space="720"/>
          <w:docGrid w:linePitch="360"/>
        </w:sectPr>
      </w:pPr>
      <w:r>
        <w:rPr>
          <w:noProof/>
        </w:rPr>
        <w:drawing>
          <wp:inline distT="0" distB="0" distL="0" distR="0" wp14:anchorId="5A6E5AE2" wp14:editId="56A16991">
            <wp:extent cx="5574535" cy="4142342"/>
            <wp:effectExtent l="0" t="0" r="26670"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91707" w:rsidRDefault="00E91707" w:rsidP="005E1968">
      <w:pPr>
        <w:tabs>
          <w:tab w:val="left" w:pos="0"/>
        </w:tabs>
        <w:spacing w:after="0" w:line="240" w:lineRule="auto"/>
        <w:rPr>
          <w:rFonts w:ascii="Tahoma" w:hAnsi="Tahoma" w:cs="Tahoma"/>
          <w:sz w:val="18"/>
          <w:szCs w:val="18"/>
        </w:rPr>
      </w:pPr>
      <w:r w:rsidRPr="00013AFA">
        <w:rPr>
          <w:rFonts w:ascii="Tahoma" w:hAnsi="Tahoma" w:cs="Tahoma"/>
          <w:sz w:val="18"/>
          <w:szCs w:val="18"/>
        </w:rPr>
        <w:lastRenderedPageBreak/>
        <w:t>Source:  U.S. Bureau of Labor Statistics</w:t>
      </w:r>
    </w:p>
    <w:p w:rsidR="00737473" w:rsidRDefault="00737473" w:rsidP="005E1968">
      <w:pPr>
        <w:tabs>
          <w:tab w:val="left" w:pos="0"/>
        </w:tabs>
        <w:spacing w:after="0" w:line="240" w:lineRule="auto"/>
        <w:rPr>
          <w:rFonts w:ascii="Tahoma" w:hAnsi="Tahoma" w:cs="Tahoma"/>
          <w:sz w:val="18"/>
          <w:szCs w:val="18"/>
        </w:rPr>
        <w:sectPr w:rsidR="00737473" w:rsidSect="003D7CC9">
          <w:type w:val="continuous"/>
          <w:pgSz w:w="12240" w:h="15840"/>
          <w:pgMar w:top="1440" w:right="1350" w:bottom="1440" w:left="2070" w:header="720" w:footer="720" w:gutter="0"/>
          <w:cols w:num="2" w:space="720"/>
          <w:docGrid w:linePitch="360"/>
        </w:sectPr>
      </w:pPr>
    </w:p>
    <w:p w:rsidR="00304CF1" w:rsidRDefault="00304CF1" w:rsidP="005E1968">
      <w:pPr>
        <w:tabs>
          <w:tab w:val="left" w:pos="0"/>
        </w:tabs>
        <w:spacing w:after="0" w:line="240" w:lineRule="auto"/>
        <w:rPr>
          <w:rFonts w:ascii="Tahoma" w:hAnsi="Tahoma" w:cs="Tahoma"/>
          <w:sz w:val="18"/>
          <w:szCs w:val="18"/>
        </w:rPr>
        <w:sectPr w:rsidR="00304CF1" w:rsidSect="003D7CC9">
          <w:type w:val="continuous"/>
          <w:pgSz w:w="12240" w:h="15840"/>
          <w:pgMar w:top="1440" w:right="1350" w:bottom="1440" w:left="2070" w:header="720" w:footer="720" w:gutter="0"/>
          <w:cols w:num="2" w:space="720"/>
          <w:docGrid w:linePitch="360"/>
        </w:sectPr>
      </w:pPr>
    </w:p>
    <w:p w:rsidR="00737473" w:rsidRDefault="00304CF1" w:rsidP="00304CF1">
      <w:pPr>
        <w:tabs>
          <w:tab w:val="left" w:pos="0"/>
          <w:tab w:val="left" w:pos="540"/>
        </w:tabs>
        <w:spacing w:after="0"/>
        <w:jc w:val="both"/>
        <w:rPr>
          <w:rFonts w:ascii="Tahoma" w:hAnsi="Tahoma" w:cs="Tahoma"/>
        </w:rPr>
      </w:pPr>
      <w:r>
        <w:rPr>
          <w:rFonts w:ascii="Tahoma" w:hAnsi="Tahoma" w:cs="Tahoma"/>
          <w:sz w:val="24"/>
          <w:szCs w:val="24"/>
        </w:rPr>
        <w:lastRenderedPageBreak/>
        <w:tab/>
      </w:r>
      <w:r w:rsidRPr="00304CF1">
        <w:rPr>
          <w:rFonts w:ascii="Tahoma" w:hAnsi="Tahoma" w:cs="Tahoma"/>
        </w:rPr>
        <w:t>Figure 6 shows average emplo</w:t>
      </w:r>
      <w:r w:rsidRPr="00304CF1">
        <w:rPr>
          <w:rFonts w:ascii="Tahoma" w:hAnsi="Tahoma" w:cs="Tahoma"/>
        </w:rPr>
        <w:t>y</w:t>
      </w:r>
      <w:r w:rsidRPr="00304CF1">
        <w:rPr>
          <w:rFonts w:ascii="Tahoma" w:hAnsi="Tahoma" w:cs="Tahoma"/>
        </w:rPr>
        <w:t>ment and</w:t>
      </w:r>
      <w:r>
        <w:rPr>
          <w:rFonts w:ascii="Tahoma" w:hAnsi="Tahoma" w:cs="Tahoma"/>
        </w:rPr>
        <w:t xml:space="preserve"> average</w:t>
      </w:r>
      <w:r w:rsidRPr="00304CF1">
        <w:rPr>
          <w:rFonts w:ascii="Tahoma" w:hAnsi="Tahoma" w:cs="Tahoma"/>
        </w:rPr>
        <w:t xml:space="preserve"> weekly wage</w:t>
      </w:r>
      <w:r>
        <w:rPr>
          <w:rFonts w:ascii="Tahoma" w:hAnsi="Tahoma" w:cs="Tahoma"/>
        </w:rPr>
        <w:t xml:space="preserve"> per worker</w:t>
      </w:r>
      <w:r w:rsidRPr="00304CF1">
        <w:rPr>
          <w:rFonts w:ascii="Tahoma" w:hAnsi="Tahoma" w:cs="Tahoma"/>
        </w:rPr>
        <w:t xml:space="preserve"> in 2014 </w:t>
      </w:r>
      <w:r>
        <w:rPr>
          <w:rFonts w:ascii="Tahoma" w:hAnsi="Tahoma" w:cs="Tahoma"/>
        </w:rPr>
        <w:t>among various manufa</w:t>
      </w:r>
      <w:r>
        <w:rPr>
          <w:rFonts w:ascii="Tahoma" w:hAnsi="Tahoma" w:cs="Tahoma"/>
        </w:rPr>
        <w:t>c</w:t>
      </w:r>
      <w:r>
        <w:rPr>
          <w:rFonts w:ascii="Tahoma" w:hAnsi="Tahoma" w:cs="Tahoma"/>
        </w:rPr>
        <w:t xml:space="preserve">turing industry sectors. </w:t>
      </w:r>
      <w:r w:rsidRPr="00304CF1">
        <w:rPr>
          <w:rFonts w:ascii="Tahoma" w:hAnsi="Tahoma" w:cs="Tahoma"/>
        </w:rPr>
        <w:t xml:space="preserve"> The two largest sectors of Waco manufacturing in terms </w:t>
      </w:r>
      <w:r w:rsidRPr="00304CF1">
        <w:rPr>
          <w:rFonts w:ascii="Tahoma" w:hAnsi="Tahoma" w:cs="Tahoma"/>
        </w:rPr>
        <w:lastRenderedPageBreak/>
        <w:t>of employment are transportation equipment and food products.  The cap</w:t>
      </w:r>
      <w:r w:rsidRPr="00304CF1">
        <w:rPr>
          <w:rFonts w:ascii="Tahoma" w:hAnsi="Tahoma" w:cs="Tahoma"/>
        </w:rPr>
        <w:t>i</w:t>
      </w:r>
      <w:r w:rsidRPr="00304CF1">
        <w:rPr>
          <w:rFonts w:ascii="Tahoma" w:hAnsi="Tahoma" w:cs="Tahoma"/>
        </w:rPr>
        <w:t>tal intensive transportation equipment sector pays the highest average weekly wage.</w:t>
      </w:r>
    </w:p>
    <w:p w:rsidR="00737473" w:rsidRDefault="00737473" w:rsidP="00304CF1">
      <w:pPr>
        <w:tabs>
          <w:tab w:val="left" w:pos="0"/>
          <w:tab w:val="left" w:pos="540"/>
        </w:tabs>
        <w:spacing w:after="0"/>
        <w:jc w:val="both"/>
        <w:rPr>
          <w:rFonts w:ascii="Tahoma" w:hAnsi="Tahoma" w:cs="Tahoma"/>
        </w:rPr>
        <w:sectPr w:rsidR="00737473" w:rsidSect="00737473">
          <w:type w:val="continuous"/>
          <w:pgSz w:w="12240" w:h="15840"/>
          <w:pgMar w:top="1440" w:right="1350" w:bottom="1440" w:left="2070" w:header="720" w:footer="720" w:gutter="0"/>
          <w:cols w:num="2" w:space="720"/>
          <w:docGrid w:linePitch="360"/>
        </w:sectPr>
      </w:pPr>
    </w:p>
    <w:p w:rsidR="00737473" w:rsidRDefault="00737473" w:rsidP="00304CF1">
      <w:pPr>
        <w:tabs>
          <w:tab w:val="left" w:pos="0"/>
          <w:tab w:val="left" w:pos="540"/>
        </w:tabs>
        <w:spacing w:after="0"/>
        <w:jc w:val="both"/>
        <w:rPr>
          <w:rFonts w:ascii="Tahoma" w:hAnsi="Tahoma" w:cs="Tahoma"/>
        </w:rPr>
        <w:sectPr w:rsidR="00737473" w:rsidSect="00737473">
          <w:type w:val="continuous"/>
          <w:pgSz w:w="12240" w:h="15840"/>
          <w:pgMar w:top="1440" w:right="1350" w:bottom="1440" w:left="2070" w:header="720" w:footer="720" w:gutter="0"/>
          <w:cols w:num="2" w:space="720"/>
          <w:docGrid w:linePitch="360"/>
        </w:sectPr>
      </w:pPr>
    </w:p>
    <w:p w:rsidR="00BB38FD" w:rsidRDefault="00186007" w:rsidP="003D7CC9">
      <w:pPr>
        <w:tabs>
          <w:tab w:val="left" w:pos="0"/>
        </w:tabs>
        <w:spacing w:after="0" w:line="240" w:lineRule="auto"/>
        <w:rPr>
          <w:sz w:val="18"/>
          <w:szCs w:val="18"/>
        </w:rPr>
      </w:pPr>
      <w:r w:rsidRPr="00D911F1">
        <w:rPr>
          <w:rFonts w:ascii="Tahoma" w:hAnsi="Tahoma" w:cs="Tahoma"/>
          <w:noProof/>
        </w:rPr>
        <w:lastRenderedPageBreak/>
        <w:drawing>
          <wp:inline distT="0" distB="0" distL="0" distR="0" wp14:anchorId="0748DAFC" wp14:editId="11059CBD">
            <wp:extent cx="5607586" cy="2313542"/>
            <wp:effectExtent l="0" t="0" r="12700" b="107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38FD" w:rsidRPr="00D911F1" w:rsidRDefault="00BB38FD" w:rsidP="003D7CC9">
      <w:pPr>
        <w:tabs>
          <w:tab w:val="left" w:pos="0"/>
        </w:tabs>
        <w:spacing w:after="120"/>
        <w:rPr>
          <w:rFonts w:ascii="Tahoma" w:hAnsi="Tahoma" w:cs="Tahoma"/>
          <w:sz w:val="18"/>
          <w:szCs w:val="18"/>
        </w:rPr>
      </w:pPr>
      <w:r w:rsidRPr="00D911F1">
        <w:rPr>
          <w:rFonts w:ascii="Tahoma" w:hAnsi="Tahoma" w:cs="Tahoma"/>
          <w:sz w:val="18"/>
          <w:szCs w:val="18"/>
        </w:rPr>
        <w:t>Source:  U.S. Bureau of Labor Statistics</w:t>
      </w:r>
    </w:p>
    <w:p w:rsidR="00D911F1" w:rsidRDefault="00D911F1" w:rsidP="00013AFA">
      <w:pPr>
        <w:tabs>
          <w:tab w:val="left" w:pos="0"/>
        </w:tabs>
        <w:spacing w:before="120" w:after="120"/>
        <w:jc w:val="both"/>
        <w:rPr>
          <w:sz w:val="24"/>
          <w:szCs w:val="24"/>
        </w:rPr>
        <w:sectPr w:rsidR="00D911F1" w:rsidSect="003E33D6">
          <w:type w:val="continuous"/>
          <w:pgSz w:w="12240" w:h="15840"/>
          <w:pgMar w:top="1440" w:right="1350" w:bottom="1440" w:left="2070" w:header="720" w:footer="720" w:gutter="0"/>
          <w:cols w:space="720"/>
          <w:docGrid w:linePitch="360"/>
        </w:sectPr>
      </w:pPr>
    </w:p>
    <w:p w:rsidR="00FA2A9B" w:rsidRDefault="002A01F8" w:rsidP="00737473">
      <w:pPr>
        <w:tabs>
          <w:tab w:val="left" w:pos="0"/>
          <w:tab w:val="left" w:pos="540"/>
        </w:tabs>
        <w:spacing w:after="0"/>
        <w:jc w:val="both"/>
        <w:rPr>
          <w:rFonts w:ascii="Tahoma" w:hAnsi="Tahoma" w:cs="Tahoma"/>
        </w:rPr>
      </w:pPr>
      <w:r>
        <w:rPr>
          <w:sz w:val="24"/>
          <w:szCs w:val="24"/>
        </w:rPr>
        <w:lastRenderedPageBreak/>
        <w:tab/>
      </w:r>
      <w:r w:rsidR="00013AFA" w:rsidRPr="00737473">
        <w:rPr>
          <w:rFonts w:ascii="Tahoma" w:hAnsi="Tahoma" w:cs="Tahoma"/>
        </w:rPr>
        <w:t>Figure</w:t>
      </w:r>
      <w:r w:rsidR="00D911F1" w:rsidRPr="00737473">
        <w:rPr>
          <w:rFonts w:ascii="Tahoma" w:hAnsi="Tahoma" w:cs="Tahoma"/>
        </w:rPr>
        <w:t xml:space="preserve"> 7</w:t>
      </w:r>
      <w:r w:rsidR="00256D15" w:rsidRPr="00737473">
        <w:rPr>
          <w:rFonts w:ascii="Tahoma" w:hAnsi="Tahoma" w:cs="Tahoma"/>
        </w:rPr>
        <w:t xml:space="preserve"> shows</w:t>
      </w:r>
      <w:r w:rsidR="00013AFA" w:rsidRPr="00737473">
        <w:rPr>
          <w:rFonts w:ascii="Tahoma" w:hAnsi="Tahoma" w:cs="Tahoma"/>
        </w:rPr>
        <w:t xml:space="preserve"> the </w:t>
      </w:r>
      <w:r w:rsidR="00256D15" w:rsidRPr="00737473">
        <w:rPr>
          <w:rFonts w:ascii="Tahoma" w:hAnsi="Tahoma" w:cs="Tahoma"/>
        </w:rPr>
        <w:t>2014 percent change in employment and wages in the five largest manufacturing sectors. In 2014 transportation</w:t>
      </w:r>
      <w:r w:rsidR="00013AFA" w:rsidRPr="00737473">
        <w:rPr>
          <w:rFonts w:ascii="Tahoma" w:hAnsi="Tahoma" w:cs="Tahoma"/>
        </w:rPr>
        <w:t xml:space="preserve"> equipment and food</w:t>
      </w:r>
      <w:r w:rsidR="00256D15" w:rsidRPr="00737473">
        <w:rPr>
          <w:rFonts w:ascii="Tahoma" w:hAnsi="Tahoma" w:cs="Tahoma"/>
        </w:rPr>
        <w:t xml:space="preserve"> </w:t>
      </w:r>
      <w:r w:rsidR="00013AFA" w:rsidRPr="00737473">
        <w:rPr>
          <w:rFonts w:ascii="Tahoma" w:hAnsi="Tahoma" w:cs="Tahoma"/>
        </w:rPr>
        <w:t>processing both lost jobs</w:t>
      </w:r>
      <w:r w:rsidR="00256D15" w:rsidRPr="00737473">
        <w:rPr>
          <w:rFonts w:ascii="Tahoma" w:hAnsi="Tahoma" w:cs="Tahoma"/>
        </w:rPr>
        <w:t>, but w</w:t>
      </w:r>
      <w:r w:rsidR="00013AFA" w:rsidRPr="00737473">
        <w:rPr>
          <w:rFonts w:ascii="Tahoma" w:hAnsi="Tahoma" w:cs="Tahoma"/>
        </w:rPr>
        <w:t>age i</w:t>
      </w:r>
      <w:r w:rsidR="00013AFA" w:rsidRPr="00737473">
        <w:rPr>
          <w:rFonts w:ascii="Tahoma" w:hAnsi="Tahoma" w:cs="Tahoma"/>
        </w:rPr>
        <w:t>n</w:t>
      </w:r>
      <w:r w:rsidR="00013AFA" w:rsidRPr="00737473">
        <w:rPr>
          <w:rFonts w:ascii="Tahoma" w:hAnsi="Tahoma" w:cs="Tahoma"/>
        </w:rPr>
        <w:t>come in food processing</w:t>
      </w:r>
      <w:r w:rsidR="00256D15" w:rsidRPr="00737473">
        <w:rPr>
          <w:rFonts w:ascii="Tahoma" w:hAnsi="Tahoma" w:cs="Tahoma"/>
        </w:rPr>
        <w:t xml:space="preserve"> </w:t>
      </w:r>
      <w:r w:rsidR="00013AFA" w:rsidRPr="00737473">
        <w:rPr>
          <w:rFonts w:ascii="Tahoma" w:hAnsi="Tahoma" w:cs="Tahoma"/>
        </w:rPr>
        <w:t>increased as average weekly wages per worker grew faster than the rate of reduction in e</w:t>
      </w:r>
      <w:r w:rsidR="00013AFA" w:rsidRPr="00737473">
        <w:rPr>
          <w:rFonts w:ascii="Tahoma" w:hAnsi="Tahoma" w:cs="Tahoma"/>
        </w:rPr>
        <w:t>m</w:t>
      </w:r>
      <w:r w:rsidR="00013AFA" w:rsidRPr="00737473">
        <w:rPr>
          <w:rFonts w:ascii="Tahoma" w:hAnsi="Tahoma" w:cs="Tahoma"/>
        </w:rPr>
        <w:t xml:space="preserve">ployment.  </w:t>
      </w:r>
      <w:r w:rsidR="005A24CD">
        <w:rPr>
          <w:rFonts w:ascii="Tahoma" w:hAnsi="Tahoma" w:cs="Tahoma"/>
        </w:rPr>
        <w:t xml:space="preserve">If the average weekly wage in food processing grows in 2015 at the same annual rate as 2014 it </w:t>
      </w:r>
      <w:r w:rsidR="00A82E29">
        <w:rPr>
          <w:rFonts w:ascii="Tahoma" w:hAnsi="Tahoma" w:cs="Tahoma"/>
        </w:rPr>
        <w:t>will amount</w:t>
      </w:r>
      <w:r w:rsidR="005A24CD">
        <w:rPr>
          <w:rFonts w:ascii="Tahoma" w:hAnsi="Tahoma" w:cs="Tahoma"/>
        </w:rPr>
        <w:t xml:space="preserve"> to $900 that is close to the $930 per week needed to reach 200 percent of the current poverty level for a family of four.  </w:t>
      </w:r>
      <w:r w:rsidR="00FA2A9B">
        <w:rPr>
          <w:rFonts w:ascii="Tahoma" w:hAnsi="Tahoma" w:cs="Tahoma"/>
        </w:rPr>
        <w:t>In chemical products, fabricated metals, and machinery b</w:t>
      </w:r>
      <w:r w:rsidR="00013AFA" w:rsidRPr="00737473">
        <w:rPr>
          <w:rFonts w:ascii="Tahoma" w:hAnsi="Tahoma" w:cs="Tahoma"/>
        </w:rPr>
        <w:t xml:space="preserve">oth employment and average weekly wages increased </w:t>
      </w:r>
      <w:r w:rsidR="00FA2A9B">
        <w:rPr>
          <w:rFonts w:ascii="Tahoma" w:hAnsi="Tahoma" w:cs="Tahoma"/>
        </w:rPr>
        <w:t>su</w:t>
      </w:r>
      <w:r w:rsidR="00FA2A9B">
        <w:rPr>
          <w:rFonts w:ascii="Tahoma" w:hAnsi="Tahoma" w:cs="Tahoma"/>
        </w:rPr>
        <w:t>b</w:t>
      </w:r>
      <w:r w:rsidR="00FA2A9B">
        <w:rPr>
          <w:rFonts w:ascii="Tahoma" w:hAnsi="Tahoma" w:cs="Tahoma"/>
        </w:rPr>
        <w:t>stantially in 2014 compared with the pr</w:t>
      </w:r>
      <w:r w:rsidR="00FA2A9B">
        <w:rPr>
          <w:rFonts w:ascii="Tahoma" w:hAnsi="Tahoma" w:cs="Tahoma"/>
        </w:rPr>
        <w:t>e</w:t>
      </w:r>
      <w:r w:rsidR="00FA2A9B">
        <w:rPr>
          <w:rFonts w:ascii="Tahoma" w:hAnsi="Tahoma" w:cs="Tahoma"/>
        </w:rPr>
        <w:t>vious year</w:t>
      </w:r>
      <w:r w:rsidR="002B6122">
        <w:rPr>
          <w:rFonts w:ascii="Tahoma" w:hAnsi="Tahoma" w:cs="Tahoma"/>
        </w:rPr>
        <w:t xml:space="preserve"> </w:t>
      </w:r>
      <w:r w:rsidR="00E66EED">
        <w:rPr>
          <w:rFonts w:ascii="Tahoma" w:hAnsi="Tahoma" w:cs="Tahoma"/>
        </w:rPr>
        <w:t xml:space="preserve">with average wage income that </w:t>
      </w:r>
      <w:r w:rsidR="002B6122">
        <w:rPr>
          <w:rFonts w:ascii="Tahoma" w:hAnsi="Tahoma" w:cs="Tahoma"/>
        </w:rPr>
        <w:t xml:space="preserve"> exceed 200% of </w:t>
      </w:r>
      <w:r w:rsidR="00E66EED">
        <w:rPr>
          <w:rFonts w:ascii="Tahoma" w:hAnsi="Tahoma" w:cs="Tahoma"/>
        </w:rPr>
        <w:t xml:space="preserve">the </w:t>
      </w:r>
      <w:r w:rsidR="002B6122">
        <w:rPr>
          <w:rFonts w:ascii="Tahoma" w:hAnsi="Tahoma" w:cs="Tahoma"/>
        </w:rPr>
        <w:t xml:space="preserve">poverty </w:t>
      </w:r>
      <w:r w:rsidR="00E66EED">
        <w:rPr>
          <w:rFonts w:ascii="Tahoma" w:hAnsi="Tahoma" w:cs="Tahoma"/>
        </w:rPr>
        <w:t>level.</w:t>
      </w:r>
      <w:r w:rsidR="002B6122">
        <w:rPr>
          <w:rFonts w:ascii="Tahoma" w:hAnsi="Tahoma" w:cs="Tahoma"/>
        </w:rPr>
        <w:t xml:space="preserve"> </w:t>
      </w:r>
    </w:p>
    <w:p w:rsidR="00722F75" w:rsidRDefault="00713959" w:rsidP="00737473">
      <w:pPr>
        <w:tabs>
          <w:tab w:val="left" w:pos="0"/>
          <w:tab w:val="left" w:pos="540"/>
        </w:tabs>
        <w:spacing w:after="0"/>
        <w:jc w:val="both"/>
        <w:rPr>
          <w:rFonts w:ascii="Tahoma" w:hAnsi="Tahoma" w:cs="Tahoma"/>
        </w:rPr>
      </w:pPr>
      <w:r w:rsidRPr="00737473">
        <w:rPr>
          <w:rFonts w:ascii="Tahoma" w:hAnsi="Tahoma" w:cs="Tahoma"/>
        </w:rPr>
        <w:tab/>
      </w:r>
      <w:r w:rsidR="00FA2A9B" w:rsidRPr="00737473">
        <w:rPr>
          <w:rFonts w:ascii="Tahoma" w:hAnsi="Tahoma" w:cs="Tahoma"/>
        </w:rPr>
        <w:t>Figure 8 shows</w:t>
      </w:r>
      <w:r w:rsidR="00FA2A9B">
        <w:rPr>
          <w:rFonts w:ascii="Tahoma" w:hAnsi="Tahoma" w:cs="Tahoma"/>
        </w:rPr>
        <w:t xml:space="preserve"> </w:t>
      </w:r>
      <w:r w:rsidR="00FA2A9B" w:rsidRPr="00737473">
        <w:rPr>
          <w:rFonts w:ascii="Tahoma" w:hAnsi="Tahoma" w:cs="Tahoma"/>
        </w:rPr>
        <w:t xml:space="preserve">that </w:t>
      </w:r>
      <w:r w:rsidR="00E66EED">
        <w:rPr>
          <w:rFonts w:ascii="Tahoma" w:hAnsi="Tahoma" w:cs="Tahoma"/>
        </w:rPr>
        <w:t>although</w:t>
      </w:r>
      <w:r w:rsidR="00FA2A9B" w:rsidRPr="00737473">
        <w:rPr>
          <w:rFonts w:ascii="Tahoma" w:hAnsi="Tahoma" w:cs="Tahoma"/>
        </w:rPr>
        <w:t xml:space="preserve"> e</w:t>
      </w:r>
      <w:r w:rsidR="00FA2A9B" w:rsidRPr="00737473">
        <w:rPr>
          <w:rFonts w:ascii="Tahoma" w:hAnsi="Tahoma" w:cs="Tahoma"/>
        </w:rPr>
        <w:t>m</w:t>
      </w:r>
      <w:r w:rsidR="00FA2A9B" w:rsidRPr="00737473">
        <w:rPr>
          <w:rFonts w:ascii="Tahoma" w:hAnsi="Tahoma" w:cs="Tahoma"/>
        </w:rPr>
        <w:t>ployment</w:t>
      </w:r>
      <w:r w:rsidR="00A82E29">
        <w:rPr>
          <w:rFonts w:ascii="Tahoma" w:hAnsi="Tahoma" w:cs="Tahoma"/>
        </w:rPr>
        <w:t xml:space="preserve"> and wage income</w:t>
      </w:r>
      <w:r w:rsidR="00E66EED">
        <w:rPr>
          <w:rFonts w:ascii="Tahoma" w:hAnsi="Tahoma" w:cs="Tahoma"/>
        </w:rPr>
        <w:t xml:space="preserve"> may</w:t>
      </w:r>
      <w:r w:rsidR="00FA2A9B" w:rsidRPr="00737473">
        <w:rPr>
          <w:rFonts w:ascii="Tahoma" w:hAnsi="Tahoma" w:cs="Tahoma"/>
        </w:rPr>
        <w:t xml:space="preserve"> </w:t>
      </w:r>
      <w:r w:rsidR="00E66EED">
        <w:rPr>
          <w:rFonts w:ascii="Tahoma" w:hAnsi="Tahoma" w:cs="Tahoma"/>
        </w:rPr>
        <w:t>change</w:t>
      </w:r>
      <w:r w:rsidR="00A82E29">
        <w:rPr>
          <w:rFonts w:ascii="Tahoma" w:hAnsi="Tahoma" w:cs="Tahoma"/>
        </w:rPr>
        <w:t xml:space="preserve"> among sectors</w:t>
      </w:r>
      <w:r w:rsidR="00D837DA">
        <w:rPr>
          <w:rFonts w:ascii="Tahoma" w:hAnsi="Tahoma" w:cs="Tahoma"/>
        </w:rPr>
        <w:t>,</w:t>
      </w:r>
      <w:r w:rsidR="00E66EED">
        <w:rPr>
          <w:rFonts w:ascii="Tahoma" w:hAnsi="Tahoma" w:cs="Tahoma"/>
        </w:rPr>
        <w:t xml:space="preserve"> Waco metro area’s</w:t>
      </w:r>
      <w:r w:rsidR="00722F75">
        <w:rPr>
          <w:rFonts w:ascii="Tahoma" w:hAnsi="Tahoma" w:cs="Tahoma"/>
        </w:rPr>
        <w:t xml:space="preserve"> </w:t>
      </w:r>
      <w:r w:rsidR="00F31BAE">
        <w:rPr>
          <w:rFonts w:ascii="Tahoma" w:hAnsi="Tahoma" w:cs="Tahoma"/>
        </w:rPr>
        <w:t xml:space="preserve">total </w:t>
      </w:r>
      <w:r w:rsidR="00E66EED">
        <w:rPr>
          <w:rFonts w:ascii="Tahoma" w:hAnsi="Tahoma" w:cs="Tahoma"/>
        </w:rPr>
        <w:t xml:space="preserve">real </w:t>
      </w:r>
      <w:r w:rsidR="00F31BAE">
        <w:rPr>
          <w:rFonts w:ascii="Tahoma" w:hAnsi="Tahoma" w:cs="Tahoma"/>
        </w:rPr>
        <w:t>output continues to grow</w:t>
      </w:r>
      <w:r w:rsidR="00E66EED">
        <w:rPr>
          <w:rFonts w:ascii="Tahoma" w:hAnsi="Tahoma" w:cs="Tahoma"/>
        </w:rPr>
        <w:t xml:space="preserve"> due to i</w:t>
      </w:r>
      <w:r w:rsidR="00E66EED">
        <w:rPr>
          <w:rFonts w:ascii="Tahoma" w:hAnsi="Tahoma" w:cs="Tahoma"/>
        </w:rPr>
        <w:t>n</w:t>
      </w:r>
      <w:r w:rsidR="00E66EED">
        <w:rPr>
          <w:rFonts w:ascii="Tahoma" w:hAnsi="Tahoma" w:cs="Tahoma"/>
        </w:rPr>
        <w:t>creases in productivity.</w:t>
      </w:r>
      <w:r w:rsidR="00722F75">
        <w:rPr>
          <w:rFonts w:ascii="Tahoma" w:hAnsi="Tahoma" w:cs="Tahoma"/>
        </w:rPr>
        <w:t xml:space="preserve"> </w:t>
      </w:r>
      <w:r w:rsidR="00FA2A9B" w:rsidRPr="00737473">
        <w:rPr>
          <w:rFonts w:ascii="Tahoma" w:hAnsi="Tahoma" w:cs="Tahoma"/>
        </w:rPr>
        <w:t xml:space="preserve"> </w:t>
      </w:r>
      <w:r w:rsidR="005D14D4" w:rsidRPr="00737473">
        <w:rPr>
          <w:rFonts w:ascii="Tahoma" w:hAnsi="Tahoma" w:cs="Tahoma"/>
        </w:rPr>
        <w:t>From June</w:t>
      </w:r>
      <w:r w:rsidR="00E3317D" w:rsidRPr="00737473">
        <w:rPr>
          <w:rFonts w:ascii="Tahoma" w:hAnsi="Tahoma" w:cs="Tahoma"/>
        </w:rPr>
        <w:t xml:space="preserve"> 2008 </w:t>
      </w:r>
      <w:r w:rsidR="005D14D4" w:rsidRPr="00737473">
        <w:rPr>
          <w:rFonts w:ascii="Tahoma" w:hAnsi="Tahoma" w:cs="Tahoma"/>
        </w:rPr>
        <w:t>to June 2009</w:t>
      </w:r>
      <w:r w:rsidR="002F6A0B" w:rsidRPr="00737473">
        <w:rPr>
          <w:rFonts w:ascii="Tahoma" w:hAnsi="Tahoma" w:cs="Tahoma"/>
        </w:rPr>
        <w:t xml:space="preserve"> </w:t>
      </w:r>
      <w:r w:rsidR="00E3317D" w:rsidRPr="00737473">
        <w:rPr>
          <w:rFonts w:ascii="Tahoma" w:hAnsi="Tahoma" w:cs="Tahoma"/>
        </w:rPr>
        <w:t>Waco manufacturing e</w:t>
      </w:r>
      <w:r w:rsidR="00E3317D" w:rsidRPr="00737473">
        <w:rPr>
          <w:rFonts w:ascii="Tahoma" w:hAnsi="Tahoma" w:cs="Tahoma"/>
        </w:rPr>
        <w:t>m</w:t>
      </w:r>
      <w:r w:rsidR="00E3317D" w:rsidRPr="00737473">
        <w:rPr>
          <w:rFonts w:ascii="Tahoma" w:hAnsi="Tahoma" w:cs="Tahoma"/>
        </w:rPr>
        <w:lastRenderedPageBreak/>
        <w:t xml:space="preserve">ployment decreased by </w:t>
      </w:r>
      <w:r w:rsidR="00FA2A9B">
        <w:rPr>
          <w:rFonts w:ascii="Tahoma" w:hAnsi="Tahoma" w:cs="Tahoma"/>
        </w:rPr>
        <w:t xml:space="preserve">fourteen </w:t>
      </w:r>
      <w:r w:rsidR="00E3317D" w:rsidRPr="00737473">
        <w:rPr>
          <w:rFonts w:ascii="Tahoma" w:hAnsi="Tahoma" w:cs="Tahoma"/>
        </w:rPr>
        <w:t>hundred jobs</w:t>
      </w:r>
      <w:r w:rsidR="005D14D4" w:rsidRPr="00737473">
        <w:rPr>
          <w:rFonts w:ascii="Tahoma" w:hAnsi="Tahoma" w:cs="Tahoma"/>
        </w:rPr>
        <w:t xml:space="preserve"> </w:t>
      </w:r>
      <w:r w:rsidR="00F31BAE">
        <w:rPr>
          <w:rFonts w:ascii="Tahoma" w:hAnsi="Tahoma" w:cs="Tahoma"/>
        </w:rPr>
        <w:t xml:space="preserve">during </w:t>
      </w:r>
      <w:r w:rsidR="005D14D4" w:rsidRPr="00737473">
        <w:rPr>
          <w:rFonts w:ascii="Tahoma" w:hAnsi="Tahoma" w:cs="Tahoma"/>
        </w:rPr>
        <w:t>the Great Recession</w:t>
      </w:r>
      <w:r w:rsidRPr="00737473">
        <w:rPr>
          <w:rFonts w:ascii="Tahoma" w:hAnsi="Tahoma" w:cs="Tahoma"/>
        </w:rPr>
        <w:t xml:space="preserve">, </w:t>
      </w:r>
      <w:r w:rsidR="00A82E29">
        <w:rPr>
          <w:rFonts w:ascii="Tahoma" w:hAnsi="Tahoma" w:cs="Tahoma"/>
        </w:rPr>
        <w:t xml:space="preserve">but </w:t>
      </w:r>
      <w:r w:rsidR="00F31BAE">
        <w:rPr>
          <w:rFonts w:ascii="Tahoma" w:hAnsi="Tahoma" w:cs="Tahoma"/>
        </w:rPr>
        <w:t>ri</w:t>
      </w:r>
      <w:r w:rsidR="00F31BAE">
        <w:rPr>
          <w:rFonts w:ascii="Tahoma" w:hAnsi="Tahoma" w:cs="Tahoma"/>
        </w:rPr>
        <w:t>s</w:t>
      </w:r>
      <w:r w:rsidR="00F31BAE">
        <w:rPr>
          <w:rFonts w:ascii="Tahoma" w:hAnsi="Tahoma" w:cs="Tahoma"/>
        </w:rPr>
        <w:t>ing labor productivity enable</w:t>
      </w:r>
      <w:r w:rsidR="00CF43F7">
        <w:rPr>
          <w:rFonts w:ascii="Tahoma" w:hAnsi="Tahoma" w:cs="Tahoma"/>
        </w:rPr>
        <w:t>d</w:t>
      </w:r>
      <w:r w:rsidR="00F31BAE">
        <w:rPr>
          <w:rFonts w:ascii="Tahoma" w:hAnsi="Tahoma" w:cs="Tahoma"/>
        </w:rPr>
        <w:t xml:space="preserve"> total </w:t>
      </w:r>
      <w:r w:rsidR="00A82E29">
        <w:rPr>
          <w:rFonts w:ascii="Tahoma" w:hAnsi="Tahoma" w:cs="Tahoma"/>
        </w:rPr>
        <w:t xml:space="preserve">real output </w:t>
      </w:r>
      <w:r w:rsidR="00F31BAE">
        <w:rPr>
          <w:rFonts w:ascii="Tahoma" w:hAnsi="Tahoma" w:cs="Tahoma"/>
        </w:rPr>
        <w:t xml:space="preserve">to remain </w:t>
      </w:r>
      <w:r w:rsidR="00722F75">
        <w:rPr>
          <w:rFonts w:ascii="Tahoma" w:hAnsi="Tahoma" w:cs="Tahoma"/>
        </w:rPr>
        <w:t>relatively stable.</w:t>
      </w:r>
    </w:p>
    <w:p w:rsidR="009C7433" w:rsidRPr="00737473" w:rsidRDefault="005D14D4" w:rsidP="00737473">
      <w:pPr>
        <w:tabs>
          <w:tab w:val="left" w:pos="0"/>
          <w:tab w:val="left" w:pos="540"/>
        </w:tabs>
        <w:spacing w:after="0"/>
        <w:jc w:val="both"/>
        <w:rPr>
          <w:rFonts w:ascii="Tahoma" w:hAnsi="Tahoma" w:cs="Tahoma"/>
        </w:rPr>
      </w:pPr>
      <w:r w:rsidRPr="00737473">
        <w:rPr>
          <w:rFonts w:ascii="Tahoma" w:hAnsi="Tahoma" w:cs="Tahoma"/>
        </w:rPr>
        <w:t xml:space="preserve"> </w:t>
      </w:r>
      <w:r w:rsidR="009C7433" w:rsidRPr="00737473">
        <w:rPr>
          <w:rFonts w:ascii="Tahoma" w:hAnsi="Tahoma" w:cs="Tahoma"/>
        </w:rPr>
        <w:tab/>
        <w:t>Over the 12-year period from 2001 to 2013 Waco manufacturing output i</w:t>
      </w:r>
      <w:r w:rsidR="009C7433" w:rsidRPr="00737473">
        <w:rPr>
          <w:rFonts w:ascii="Tahoma" w:hAnsi="Tahoma" w:cs="Tahoma"/>
        </w:rPr>
        <w:t>n</w:t>
      </w:r>
      <w:r w:rsidR="009C7433" w:rsidRPr="00737473">
        <w:rPr>
          <w:rFonts w:ascii="Tahoma" w:hAnsi="Tahoma" w:cs="Tahoma"/>
        </w:rPr>
        <w:t xml:space="preserve">creased at an average annual rate of 7.13% compared with 2.04% for all U.S. metro areas.  </w:t>
      </w:r>
      <w:r w:rsidR="00F31BAE">
        <w:rPr>
          <w:rFonts w:ascii="Tahoma" w:hAnsi="Tahoma" w:cs="Tahoma"/>
        </w:rPr>
        <w:t xml:space="preserve">More recently, </w:t>
      </w:r>
      <w:r w:rsidR="00CF43F7">
        <w:rPr>
          <w:rFonts w:ascii="Tahoma" w:hAnsi="Tahoma" w:cs="Tahoma"/>
        </w:rPr>
        <w:t>f</w:t>
      </w:r>
      <w:r w:rsidR="009C7433" w:rsidRPr="00737473">
        <w:rPr>
          <w:rFonts w:ascii="Tahoma" w:hAnsi="Tahoma" w:cs="Tahoma"/>
        </w:rPr>
        <w:t xml:space="preserve">rom 2009-13 the annual rate of growth in Waco manufacturing output averaged 5.34% that included annual growth of 7.45% in 2013.  </w:t>
      </w:r>
    </w:p>
    <w:p w:rsidR="008A4BA6" w:rsidRPr="00737473" w:rsidRDefault="009C7433" w:rsidP="00737473">
      <w:pPr>
        <w:tabs>
          <w:tab w:val="left" w:pos="0"/>
          <w:tab w:val="left" w:pos="630"/>
        </w:tabs>
        <w:spacing w:after="0"/>
        <w:jc w:val="both"/>
        <w:rPr>
          <w:rFonts w:ascii="Tahoma" w:hAnsi="Tahoma" w:cs="Tahoma"/>
        </w:rPr>
      </w:pPr>
      <w:r w:rsidRPr="00737473">
        <w:rPr>
          <w:rFonts w:ascii="Tahoma" w:hAnsi="Tahoma" w:cs="Tahoma"/>
        </w:rPr>
        <w:tab/>
        <w:t>Waco</w:t>
      </w:r>
      <w:r w:rsidR="00737473">
        <w:rPr>
          <w:rFonts w:ascii="Tahoma" w:hAnsi="Tahoma" w:cs="Tahoma"/>
        </w:rPr>
        <w:t>’s</w:t>
      </w:r>
      <w:r w:rsidRPr="00737473">
        <w:rPr>
          <w:rFonts w:ascii="Tahoma" w:hAnsi="Tahoma" w:cs="Tahoma"/>
        </w:rPr>
        <w:t xml:space="preserve"> diversified manufacturing sector has proven its ability to </w:t>
      </w:r>
      <w:r w:rsidR="008A4BA6" w:rsidRPr="00737473">
        <w:rPr>
          <w:rFonts w:ascii="Tahoma" w:hAnsi="Tahoma" w:cs="Tahoma"/>
        </w:rPr>
        <w:t>grow</w:t>
      </w:r>
      <w:r w:rsidRPr="00737473">
        <w:rPr>
          <w:rFonts w:ascii="Tahoma" w:hAnsi="Tahoma" w:cs="Tahoma"/>
        </w:rPr>
        <w:t xml:space="preserve"> d</w:t>
      </w:r>
      <w:r w:rsidRPr="00737473">
        <w:rPr>
          <w:rFonts w:ascii="Tahoma" w:hAnsi="Tahoma" w:cs="Tahoma"/>
        </w:rPr>
        <w:t>e</w:t>
      </w:r>
      <w:r w:rsidRPr="00737473">
        <w:rPr>
          <w:rFonts w:ascii="Tahoma" w:hAnsi="Tahoma" w:cs="Tahoma"/>
        </w:rPr>
        <w:t xml:space="preserve">spite influences that </w:t>
      </w:r>
      <w:r w:rsidR="00670624" w:rsidRPr="00737473">
        <w:rPr>
          <w:rFonts w:ascii="Tahoma" w:hAnsi="Tahoma" w:cs="Tahoma"/>
        </w:rPr>
        <w:t>tempo</w:t>
      </w:r>
      <w:r w:rsidR="008A4BA6" w:rsidRPr="00737473">
        <w:rPr>
          <w:rFonts w:ascii="Tahoma" w:hAnsi="Tahoma" w:cs="Tahoma"/>
        </w:rPr>
        <w:t xml:space="preserve">rarily </w:t>
      </w:r>
      <w:r w:rsidR="001B5261" w:rsidRPr="00737473">
        <w:rPr>
          <w:rFonts w:ascii="Tahoma" w:hAnsi="Tahoma" w:cs="Tahoma"/>
        </w:rPr>
        <w:t>slow</w:t>
      </w:r>
      <w:r w:rsidR="008A4BA6" w:rsidRPr="00737473">
        <w:rPr>
          <w:rFonts w:ascii="Tahoma" w:hAnsi="Tahoma" w:cs="Tahoma"/>
        </w:rPr>
        <w:t xml:space="preserve"> </w:t>
      </w:r>
      <w:r w:rsidRPr="00737473">
        <w:rPr>
          <w:rFonts w:ascii="Tahoma" w:hAnsi="Tahoma" w:cs="Tahoma"/>
        </w:rPr>
        <w:t>the p</w:t>
      </w:r>
      <w:r w:rsidR="00670624" w:rsidRPr="00737473">
        <w:rPr>
          <w:rFonts w:ascii="Tahoma" w:hAnsi="Tahoma" w:cs="Tahoma"/>
        </w:rPr>
        <w:t>ace of growth.</w:t>
      </w:r>
      <w:r w:rsidR="00F178E2" w:rsidRPr="00737473">
        <w:rPr>
          <w:rFonts w:ascii="Tahoma" w:hAnsi="Tahoma" w:cs="Tahoma"/>
        </w:rPr>
        <w:t xml:space="preserve">  </w:t>
      </w:r>
      <w:r w:rsidR="001B5261" w:rsidRPr="00737473">
        <w:rPr>
          <w:rFonts w:ascii="Tahoma" w:hAnsi="Tahoma" w:cs="Tahoma"/>
        </w:rPr>
        <w:t>In 2013 manufacturing output amounted to 26.9% o</w:t>
      </w:r>
      <w:r w:rsidR="00F178E2" w:rsidRPr="00737473">
        <w:rPr>
          <w:rFonts w:ascii="Tahoma" w:hAnsi="Tahoma" w:cs="Tahoma"/>
        </w:rPr>
        <w:t>f</w:t>
      </w:r>
      <w:r w:rsidR="001B5261" w:rsidRPr="00737473">
        <w:rPr>
          <w:rFonts w:ascii="Tahoma" w:hAnsi="Tahoma" w:cs="Tahoma"/>
        </w:rPr>
        <w:t xml:space="preserve"> </w:t>
      </w:r>
      <w:r w:rsidR="00F178E2" w:rsidRPr="00737473">
        <w:rPr>
          <w:rFonts w:ascii="Tahoma" w:hAnsi="Tahoma" w:cs="Tahoma"/>
        </w:rPr>
        <w:t xml:space="preserve">Waco’s </w:t>
      </w:r>
      <w:r w:rsidR="001B5261" w:rsidRPr="00737473">
        <w:rPr>
          <w:rFonts w:ascii="Tahoma" w:hAnsi="Tahoma" w:cs="Tahoma"/>
        </w:rPr>
        <w:t>real GDP compared with an average of 11.9% of real GDP produced by all metro areas in the U.S. economy.</w:t>
      </w:r>
      <w:r w:rsidR="00670624" w:rsidRPr="00737473">
        <w:rPr>
          <w:rFonts w:ascii="Tahoma" w:hAnsi="Tahoma" w:cs="Tahoma"/>
        </w:rPr>
        <w:t xml:space="preserve"> </w:t>
      </w:r>
      <w:r w:rsidR="008A4BA6" w:rsidRPr="00737473">
        <w:rPr>
          <w:rFonts w:ascii="Tahoma" w:hAnsi="Tahoma" w:cs="Tahoma"/>
        </w:rPr>
        <w:t xml:space="preserve">Substantial localization agglomeration economies are </w:t>
      </w:r>
      <w:r w:rsidR="001B5261" w:rsidRPr="00737473">
        <w:rPr>
          <w:rFonts w:ascii="Tahoma" w:hAnsi="Tahoma" w:cs="Tahoma"/>
        </w:rPr>
        <w:t xml:space="preserve">continuing to </w:t>
      </w:r>
      <w:r w:rsidR="008A4BA6" w:rsidRPr="00737473">
        <w:rPr>
          <w:rFonts w:ascii="Tahoma" w:hAnsi="Tahoma" w:cs="Tahoma"/>
        </w:rPr>
        <w:t>identify</w:t>
      </w:r>
      <w:r w:rsidR="001B5261" w:rsidRPr="00737473">
        <w:rPr>
          <w:rFonts w:ascii="Tahoma" w:hAnsi="Tahoma" w:cs="Tahoma"/>
        </w:rPr>
        <w:t xml:space="preserve"> </w:t>
      </w:r>
      <w:r w:rsidR="008A4BA6" w:rsidRPr="00737473">
        <w:rPr>
          <w:rFonts w:ascii="Tahoma" w:hAnsi="Tahoma" w:cs="Tahoma"/>
        </w:rPr>
        <w:t xml:space="preserve">Waco as a prime site for manufacturing in the Southwest region and beyond. </w:t>
      </w:r>
    </w:p>
    <w:p w:rsidR="001B5261" w:rsidRDefault="001B5261" w:rsidP="00713959">
      <w:pPr>
        <w:tabs>
          <w:tab w:val="left" w:pos="0"/>
        </w:tabs>
        <w:spacing w:after="0"/>
        <w:jc w:val="both"/>
        <w:rPr>
          <w:rFonts w:ascii="Tahoma" w:hAnsi="Tahoma" w:cs="Tahoma"/>
          <w:sz w:val="24"/>
          <w:szCs w:val="24"/>
        </w:rPr>
        <w:sectPr w:rsidR="001B5261" w:rsidSect="00BC7E4B">
          <w:type w:val="continuous"/>
          <w:pgSz w:w="12240" w:h="15840"/>
          <w:pgMar w:top="1440" w:right="1350" w:bottom="1440" w:left="2070" w:header="720" w:footer="720" w:gutter="0"/>
          <w:cols w:num="2" w:space="720"/>
          <w:docGrid w:linePitch="360"/>
        </w:sectPr>
      </w:pPr>
    </w:p>
    <w:p w:rsidR="008A4BA6" w:rsidRDefault="008A4BA6" w:rsidP="00713959">
      <w:pPr>
        <w:tabs>
          <w:tab w:val="left" w:pos="0"/>
        </w:tabs>
        <w:spacing w:after="0"/>
        <w:jc w:val="both"/>
        <w:rPr>
          <w:rFonts w:ascii="Tahoma" w:hAnsi="Tahoma" w:cs="Tahoma"/>
          <w:sz w:val="24"/>
          <w:szCs w:val="24"/>
        </w:rPr>
      </w:pPr>
      <w:r>
        <w:rPr>
          <w:rFonts w:ascii="Tahoma" w:hAnsi="Tahoma" w:cs="Tahoma"/>
          <w:sz w:val="24"/>
          <w:szCs w:val="24"/>
        </w:rPr>
        <w:lastRenderedPageBreak/>
        <w:t xml:space="preserve">  </w:t>
      </w:r>
    </w:p>
    <w:p w:rsidR="00670624" w:rsidRDefault="008A4BA6" w:rsidP="00713959">
      <w:pPr>
        <w:tabs>
          <w:tab w:val="left" w:pos="0"/>
        </w:tabs>
        <w:spacing w:after="0"/>
        <w:jc w:val="both"/>
        <w:rPr>
          <w:rFonts w:ascii="Tahoma" w:hAnsi="Tahoma" w:cs="Tahoma"/>
          <w:sz w:val="24"/>
          <w:szCs w:val="24"/>
        </w:rPr>
        <w:sectPr w:rsidR="00670624" w:rsidSect="00BC7E4B">
          <w:type w:val="continuous"/>
          <w:pgSz w:w="12240" w:h="15840"/>
          <w:pgMar w:top="1440" w:right="1350" w:bottom="1440" w:left="2070" w:header="720" w:footer="720" w:gutter="0"/>
          <w:cols w:num="2" w:space="720"/>
          <w:docGrid w:linePitch="360"/>
        </w:sectPr>
      </w:pPr>
      <w:r>
        <w:rPr>
          <w:rFonts w:ascii="Tahoma" w:hAnsi="Tahoma" w:cs="Tahoma"/>
          <w:sz w:val="24"/>
          <w:szCs w:val="24"/>
        </w:rPr>
        <w:lastRenderedPageBreak/>
        <w:t xml:space="preserve"> </w:t>
      </w:r>
    </w:p>
    <w:p w:rsidR="00670624" w:rsidRDefault="00670624" w:rsidP="001B5261">
      <w:pPr>
        <w:tabs>
          <w:tab w:val="left" w:pos="0"/>
        </w:tabs>
        <w:spacing w:after="0" w:line="240" w:lineRule="auto"/>
        <w:jc w:val="both"/>
        <w:rPr>
          <w:rFonts w:ascii="Tahoma" w:hAnsi="Tahoma" w:cs="Tahoma"/>
          <w:sz w:val="24"/>
          <w:szCs w:val="24"/>
        </w:rPr>
      </w:pPr>
      <w:r>
        <w:rPr>
          <w:noProof/>
        </w:rPr>
        <w:lastRenderedPageBreak/>
        <w:drawing>
          <wp:inline distT="0" distB="0" distL="0" distR="0" wp14:anchorId="57B6FFBB" wp14:editId="227D9B6D">
            <wp:extent cx="5606143" cy="2710543"/>
            <wp:effectExtent l="0" t="0" r="13970" b="1397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70624" w:rsidRPr="00670624" w:rsidRDefault="00670624" w:rsidP="00713959">
      <w:pPr>
        <w:tabs>
          <w:tab w:val="left" w:pos="0"/>
        </w:tabs>
        <w:spacing w:after="0"/>
        <w:jc w:val="both"/>
        <w:rPr>
          <w:rFonts w:ascii="Tahoma" w:hAnsi="Tahoma" w:cs="Tahoma"/>
          <w:sz w:val="18"/>
          <w:szCs w:val="18"/>
        </w:rPr>
      </w:pPr>
      <w:r w:rsidRPr="00670624">
        <w:rPr>
          <w:rFonts w:ascii="Tahoma" w:hAnsi="Tahoma" w:cs="Tahoma"/>
          <w:sz w:val="18"/>
          <w:szCs w:val="18"/>
        </w:rPr>
        <w:t>Source: U.S. Department of Commerce</w:t>
      </w:r>
    </w:p>
    <w:p w:rsidR="001B5261" w:rsidRDefault="001B5261" w:rsidP="001B5261">
      <w:pPr>
        <w:tabs>
          <w:tab w:val="left" w:pos="0"/>
        </w:tabs>
        <w:spacing w:after="120"/>
        <w:jc w:val="both"/>
        <w:rPr>
          <w:rFonts w:ascii="Tahoma" w:hAnsi="Tahoma" w:cs="Tahoma"/>
          <w:sz w:val="28"/>
          <w:szCs w:val="28"/>
        </w:rPr>
      </w:pPr>
      <w:r w:rsidRPr="001B5261">
        <w:rPr>
          <w:rFonts w:ascii="Tahoma" w:hAnsi="Tahoma" w:cs="Tahoma"/>
          <w:sz w:val="28"/>
          <w:szCs w:val="28"/>
        </w:rPr>
        <w:lastRenderedPageBreak/>
        <w:t>Business and Professional Services</w:t>
      </w:r>
    </w:p>
    <w:p w:rsidR="001B5261" w:rsidRDefault="001B5261" w:rsidP="00713959">
      <w:pPr>
        <w:tabs>
          <w:tab w:val="left" w:pos="0"/>
        </w:tabs>
        <w:spacing w:after="0"/>
        <w:jc w:val="both"/>
        <w:rPr>
          <w:rFonts w:ascii="Tahoma" w:hAnsi="Tahoma" w:cs="Tahoma"/>
          <w:sz w:val="28"/>
          <w:szCs w:val="28"/>
        </w:rPr>
        <w:sectPr w:rsidR="001B5261" w:rsidSect="00670624">
          <w:type w:val="continuous"/>
          <w:pgSz w:w="12240" w:h="15840"/>
          <w:pgMar w:top="1440" w:right="1350" w:bottom="1440" w:left="2070" w:header="720" w:footer="720" w:gutter="0"/>
          <w:cols w:space="720"/>
          <w:docGrid w:linePitch="360"/>
        </w:sectPr>
      </w:pPr>
    </w:p>
    <w:p w:rsidR="00D12CCD" w:rsidRPr="00A410B2" w:rsidRDefault="001B5261" w:rsidP="00A410B2">
      <w:pPr>
        <w:tabs>
          <w:tab w:val="left" w:pos="0"/>
          <w:tab w:val="left" w:pos="540"/>
        </w:tabs>
        <w:spacing w:after="0"/>
        <w:jc w:val="both"/>
        <w:rPr>
          <w:rFonts w:ascii="Tahoma" w:hAnsi="Tahoma" w:cs="Tahoma"/>
        </w:rPr>
      </w:pPr>
      <w:r>
        <w:rPr>
          <w:rFonts w:ascii="Tahoma" w:hAnsi="Tahoma" w:cs="Tahoma"/>
          <w:sz w:val="28"/>
          <w:szCs w:val="28"/>
        </w:rPr>
        <w:lastRenderedPageBreak/>
        <w:tab/>
      </w:r>
      <w:r w:rsidR="00E66EED">
        <w:rPr>
          <w:rFonts w:ascii="Tahoma" w:hAnsi="Tahoma" w:cs="Tahoma"/>
        </w:rPr>
        <w:t>S</w:t>
      </w:r>
      <w:r w:rsidRPr="00A410B2">
        <w:rPr>
          <w:rFonts w:ascii="Tahoma" w:hAnsi="Tahoma" w:cs="Tahoma"/>
        </w:rPr>
        <w:t>ince the 2009 recession</w:t>
      </w:r>
      <w:r w:rsidR="008024E1">
        <w:rPr>
          <w:rFonts w:ascii="Tahoma" w:hAnsi="Tahoma" w:cs="Tahoma"/>
        </w:rPr>
        <w:t>,</w:t>
      </w:r>
      <w:r w:rsidR="00722F75">
        <w:rPr>
          <w:rFonts w:ascii="Tahoma" w:hAnsi="Tahoma" w:cs="Tahoma"/>
        </w:rPr>
        <w:t xml:space="preserve"> while</w:t>
      </w:r>
      <w:r w:rsidRPr="00A410B2">
        <w:rPr>
          <w:rFonts w:ascii="Tahoma" w:hAnsi="Tahoma" w:cs="Tahoma"/>
        </w:rPr>
        <w:t xml:space="preserve"> Waco manufacturers added about 2 hu</w:t>
      </w:r>
      <w:r w:rsidRPr="00A410B2">
        <w:rPr>
          <w:rFonts w:ascii="Tahoma" w:hAnsi="Tahoma" w:cs="Tahoma"/>
        </w:rPr>
        <w:t>n</w:t>
      </w:r>
      <w:r w:rsidRPr="00A410B2">
        <w:rPr>
          <w:rFonts w:ascii="Tahoma" w:hAnsi="Tahoma" w:cs="Tahoma"/>
        </w:rPr>
        <w:t xml:space="preserve">dred primarily production jobs, </w:t>
      </w:r>
      <w:r w:rsidR="00722F75">
        <w:rPr>
          <w:rFonts w:ascii="Tahoma" w:hAnsi="Tahoma" w:cs="Tahoma"/>
        </w:rPr>
        <w:t>new and existing local</w:t>
      </w:r>
      <w:r w:rsidRPr="00A410B2">
        <w:rPr>
          <w:rFonts w:ascii="Tahoma" w:hAnsi="Tahoma" w:cs="Tahoma"/>
        </w:rPr>
        <w:t xml:space="preserve"> business and professional service </w:t>
      </w:r>
      <w:r w:rsidR="00722F75">
        <w:rPr>
          <w:rFonts w:ascii="Tahoma" w:hAnsi="Tahoma" w:cs="Tahoma"/>
        </w:rPr>
        <w:t>firms</w:t>
      </w:r>
      <w:r w:rsidRPr="00A410B2">
        <w:rPr>
          <w:rFonts w:ascii="Tahoma" w:hAnsi="Tahoma" w:cs="Tahoma"/>
        </w:rPr>
        <w:t xml:space="preserve"> increased</w:t>
      </w:r>
      <w:r w:rsidR="00722F75">
        <w:rPr>
          <w:rFonts w:ascii="Tahoma" w:hAnsi="Tahoma" w:cs="Tahoma"/>
        </w:rPr>
        <w:t xml:space="preserve"> employment</w:t>
      </w:r>
      <w:r w:rsidRPr="00A410B2">
        <w:rPr>
          <w:rFonts w:ascii="Tahoma" w:hAnsi="Tahoma" w:cs="Tahoma"/>
        </w:rPr>
        <w:t xml:space="preserve"> by 24 hundred workers</w:t>
      </w:r>
      <w:r w:rsidR="00990C2D">
        <w:rPr>
          <w:rFonts w:ascii="Tahoma" w:hAnsi="Tahoma" w:cs="Tahoma"/>
        </w:rPr>
        <w:t>.</w:t>
      </w:r>
      <w:r w:rsidRPr="00A410B2">
        <w:rPr>
          <w:rFonts w:ascii="Tahoma" w:hAnsi="Tahoma" w:cs="Tahoma"/>
        </w:rPr>
        <w:t xml:space="preserve">  </w:t>
      </w:r>
    </w:p>
    <w:p w:rsidR="00760939" w:rsidRDefault="00D12CCD" w:rsidP="00A410B2">
      <w:pPr>
        <w:tabs>
          <w:tab w:val="left" w:pos="0"/>
          <w:tab w:val="left" w:pos="540"/>
        </w:tabs>
        <w:spacing w:after="0"/>
        <w:jc w:val="both"/>
        <w:rPr>
          <w:rFonts w:ascii="Tahoma" w:hAnsi="Tahoma" w:cs="Tahoma"/>
        </w:rPr>
      </w:pPr>
      <w:r w:rsidRPr="00A410B2">
        <w:rPr>
          <w:rFonts w:ascii="Tahoma" w:hAnsi="Tahoma" w:cs="Tahoma"/>
        </w:rPr>
        <w:tab/>
      </w:r>
      <w:r w:rsidR="00990C2D">
        <w:rPr>
          <w:rFonts w:ascii="Tahoma" w:hAnsi="Tahoma" w:cs="Tahoma"/>
        </w:rPr>
        <w:t xml:space="preserve">The continuous increase in monthly employment is shown in figure 9.  </w:t>
      </w:r>
      <w:r w:rsidR="00A410B2">
        <w:rPr>
          <w:rFonts w:ascii="Tahoma" w:hAnsi="Tahoma" w:cs="Tahoma"/>
        </w:rPr>
        <w:t>During</w:t>
      </w:r>
      <w:r w:rsidRPr="00A410B2">
        <w:rPr>
          <w:rFonts w:ascii="Tahoma" w:hAnsi="Tahoma" w:cs="Tahoma"/>
        </w:rPr>
        <w:t xml:space="preserve"> 4th quarter 2014 the number of Waco professional and technical service wor</w:t>
      </w:r>
      <w:r w:rsidRPr="00A410B2">
        <w:rPr>
          <w:rFonts w:ascii="Tahoma" w:hAnsi="Tahoma" w:cs="Tahoma"/>
        </w:rPr>
        <w:t>k</w:t>
      </w:r>
      <w:r w:rsidRPr="00A410B2">
        <w:rPr>
          <w:rFonts w:ascii="Tahoma" w:hAnsi="Tahoma" w:cs="Tahoma"/>
        </w:rPr>
        <w:t>ers increased 3.2 percent compared with 4th quarter 2013.  Average weekly ear</w:t>
      </w:r>
      <w:r w:rsidRPr="00A410B2">
        <w:rPr>
          <w:rFonts w:ascii="Tahoma" w:hAnsi="Tahoma" w:cs="Tahoma"/>
        </w:rPr>
        <w:t>n</w:t>
      </w:r>
      <w:r w:rsidRPr="00A410B2">
        <w:rPr>
          <w:rFonts w:ascii="Tahoma" w:hAnsi="Tahoma" w:cs="Tahoma"/>
        </w:rPr>
        <w:t>ings per worker amounted to $1,455 that was 11.2 percent higher than during fourth quarter 2013</w:t>
      </w:r>
      <w:r w:rsidR="005F6E15" w:rsidRPr="00A410B2">
        <w:rPr>
          <w:rFonts w:ascii="Tahoma" w:hAnsi="Tahoma" w:cs="Tahoma"/>
        </w:rPr>
        <w:t xml:space="preserve"> while t</w:t>
      </w:r>
      <w:r w:rsidRPr="00A410B2">
        <w:rPr>
          <w:rFonts w:ascii="Tahoma" w:hAnsi="Tahoma" w:cs="Tahoma"/>
        </w:rPr>
        <w:t xml:space="preserve">otal wage earnings increased area income </w:t>
      </w:r>
      <w:r w:rsidR="00CF43F7">
        <w:rPr>
          <w:rFonts w:ascii="Tahoma" w:hAnsi="Tahoma" w:cs="Tahoma"/>
        </w:rPr>
        <w:t>at</w:t>
      </w:r>
      <w:r w:rsidRPr="00A410B2">
        <w:rPr>
          <w:rFonts w:ascii="Tahoma" w:hAnsi="Tahoma" w:cs="Tahoma"/>
        </w:rPr>
        <w:t xml:space="preserve"> an annual rate of $2.15 million.</w:t>
      </w:r>
      <w:r w:rsidR="005F6E15" w:rsidRPr="00A410B2">
        <w:rPr>
          <w:rFonts w:ascii="Tahoma" w:hAnsi="Tahoma" w:cs="Tahoma"/>
        </w:rPr>
        <w:t xml:space="preserve"> </w:t>
      </w:r>
    </w:p>
    <w:p w:rsidR="00A410B2" w:rsidRDefault="00990C2D" w:rsidP="00990C2D">
      <w:pPr>
        <w:tabs>
          <w:tab w:val="left" w:pos="0"/>
          <w:tab w:val="left" w:pos="540"/>
        </w:tabs>
        <w:spacing w:after="0"/>
        <w:jc w:val="both"/>
        <w:rPr>
          <w:rFonts w:ascii="Tahoma" w:hAnsi="Tahoma" w:cs="Tahoma"/>
        </w:rPr>
      </w:pPr>
      <w:r>
        <w:rPr>
          <w:rFonts w:ascii="Tahoma" w:hAnsi="Tahoma" w:cs="Tahoma"/>
        </w:rPr>
        <w:tab/>
      </w:r>
      <w:r w:rsidR="00A410B2" w:rsidRPr="00A410B2">
        <w:rPr>
          <w:rFonts w:ascii="Tahoma" w:hAnsi="Tahoma" w:cs="Tahoma"/>
        </w:rPr>
        <w:t>The increase in business and pr</w:t>
      </w:r>
      <w:r w:rsidR="00A410B2" w:rsidRPr="00A410B2">
        <w:rPr>
          <w:rFonts w:ascii="Tahoma" w:hAnsi="Tahoma" w:cs="Tahoma"/>
        </w:rPr>
        <w:t>o</w:t>
      </w:r>
      <w:r w:rsidR="00A410B2" w:rsidRPr="00A410B2">
        <w:rPr>
          <w:rFonts w:ascii="Tahoma" w:hAnsi="Tahoma" w:cs="Tahoma"/>
        </w:rPr>
        <w:t>fessional service employment reflects</w:t>
      </w:r>
      <w:r w:rsidR="00CF43F7">
        <w:rPr>
          <w:rFonts w:ascii="Tahoma" w:hAnsi="Tahoma" w:cs="Tahoma"/>
        </w:rPr>
        <w:t xml:space="preserve"> </w:t>
      </w:r>
      <w:r w:rsidR="00CF43F7" w:rsidRPr="00A410B2">
        <w:rPr>
          <w:rFonts w:ascii="Tahoma" w:hAnsi="Tahoma" w:cs="Tahoma"/>
        </w:rPr>
        <w:t>both</w:t>
      </w:r>
      <w:r w:rsidR="00A410B2" w:rsidRPr="00A410B2">
        <w:rPr>
          <w:rFonts w:ascii="Tahoma" w:hAnsi="Tahoma" w:cs="Tahoma"/>
        </w:rPr>
        <w:t xml:space="preserve"> an increase in volume of existing companies and the development of new entrepreneurs that are attracted to a cluster of professional service firms.</w:t>
      </w:r>
    </w:p>
    <w:p w:rsidR="00C4623E" w:rsidRDefault="00A410B2" w:rsidP="00A410B2">
      <w:pPr>
        <w:tabs>
          <w:tab w:val="left" w:pos="0"/>
          <w:tab w:val="left" w:pos="540"/>
        </w:tabs>
        <w:spacing w:after="0"/>
        <w:jc w:val="both"/>
        <w:rPr>
          <w:rFonts w:ascii="Tahoma" w:hAnsi="Tahoma" w:cs="Tahoma"/>
        </w:rPr>
      </w:pPr>
      <w:r>
        <w:rPr>
          <w:rFonts w:ascii="Tahoma" w:hAnsi="Tahoma" w:cs="Tahoma"/>
        </w:rPr>
        <w:lastRenderedPageBreak/>
        <w:tab/>
        <w:t xml:space="preserve">Younger business and professional service employees are discovering Waco as a place to live that offers </w:t>
      </w:r>
      <w:r w:rsidR="00AA6EB4">
        <w:rPr>
          <w:rFonts w:ascii="Tahoma" w:hAnsi="Tahoma" w:cs="Tahoma"/>
        </w:rPr>
        <w:t xml:space="preserve">an </w:t>
      </w:r>
      <w:r>
        <w:rPr>
          <w:rFonts w:ascii="Tahoma" w:hAnsi="Tahoma" w:cs="Tahoma"/>
        </w:rPr>
        <w:t>attractive</w:t>
      </w:r>
      <w:r w:rsidR="00AA6EB4">
        <w:rPr>
          <w:rFonts w:ascii="Tahoma" w:hAnsi="Tahoma" w:cs="Tahoma"/>
        </w:rPr>
        <w:t xml:space="preserve"> living environment with affordable hou</w:t>
      </w:r>
      <w:r w:rsidR="00AA6EB4">
        <w:rPr>
          <w:rFonts w:ascii="Tahoma" w:hAnsi="Tahoma" w:cs="Tahoma"/>
        </w:rPr>
        <w:t>s</w:t>
      </w:r>
      <w:r w:rsidR="00AA6EB4">
        <w:rPr>
          <w:rFonts w:ascii="Tahoma" w:hAnsi="Tahoma" w:cs="Tahoma"/>
        </w:rPr>
        <w:t>ing, transportation without congestion, growing cultural attractions and outdoor activities, and</w:t>
      </w:r>
      <w:r w:rsidR="00C4623E">
        <w:rPr>
          <w:rFonts w:ascii="Tahoma" w:hAnsi="Tahoma" w:cs="Tahoma"/>
        </w:rPr>
        <w:t xml:space="preserve"> an</w:t>
      </w:r>
      <w:r w:rsidR="00AA6EB4">
        <w:rPr>
          <w:rFonts w:ascii="Tahoma" w:hAnsi="Tahoma" w:cs="Tahoma"/>
        </w:rPr>
        <w:t xml:space="preserve"> increasing number of like</w:t>
      </w:r>
      <w:r w:rsidR="00C4623E">
        <w:rPr>
          <w:rFonts w:ascii="Tahoma" w:hAnsi="Tahoma" w:cs="Tahoma"/>
        </w:rPr>
        <w:t>-</w:t>
      </w:r>
      <w:r w:rsidR="00AA6EB4">
        <w:rPr>
          <w:rFonts w:ascii="Tahoma" w:hAnsi="Tahoma" w:cs="Tahoma"/>
        </w:rPr>
        <w:t>minded professionally</w:t>
      </w:r>
      <w:r w:rsidR="00C4623E">
        <w:rPr>
          <w:rFonts w:ascii="Tahoma" w:hAnsi="Tahoma" w:cs="Tahoma"/>
        </w:rPr>
        <w:t xml:space="preserve"> </w:t>
      </w:r>
      <w:r w:rsidR="00AA6EB4">
        <w:rPr>
          <w:rFonts w:ascii="Tahoma" w:hAnsi="Tahoma" w:cs="Tahoma"/>
        </w:rPr>
        <w:t>trained entr</w:t>
      </w:r>
      <w:r w:rsidR="00AA6EB4">
        <w:rPr>
          <w:rFonts w:ascii="Tahoma" w:hAnsi="Tahoma" w:cs="Tahoma"/>
        </w:rPr>
        <w:t>e</w:t>
      </w:r>
      <w:r w:rsidR="00AA6EB4">
        <w:rPr>
          <w:rFonts w:ascii="Tahoma" w:hAnsi="Tahoma" w:cs="Tahoma"/>
        </w:rPr>
        <w:t xml:space="preserve">preneurs.  Hence, while </w:t>
      </w:r>
      <w:r w:rsidR="005F6E15" w:rsidRPr="00A410B2">
        <w:rPr>
          <w:rFonts w:ascii="Tahoma" w:hAnsi="Tahoma" w:cs="Tahoma"/>
        </w:rPr>
        <w:t>employment in business and professional services in W</w:t>
      </w:r>
      <w:r w:rsidR="005F6E15" w:rsidRPr="00A410B2">
        <w:rPr>
          <w:rFonts w:ascii="Tahoma" w:hAnsi="Tahoma" w:cs="Tahoma"/>
        </w:rPr>
        <w:t>a</w:t>
      </w:r>
      <w:r w:rsidR="005F6E15" w:rsidRPr="00A410B2">
        <w:rPr>
          <w:rFonts w:ascii="Tahoma" w:hAnsi="Tahoma" w:cs="Tahoma"/>
        </w:rPr>
        <w:t>co amounts to 10.4 percent of total no</w:t>
      </w:r>
      <w:r w:rsidR="005F6E15" w:rsidRPr="00A410B2">
        <w:rPr>
          <w:rFonts w:ascii="Tahoma" w:hAnsi="Tahoma" w:cs="Tahoma"/>
        </w:rPr>
        <w:t>n</w:t>
      </w:r>
      <w:r w:rsidR="005F6E15" w:rsidRPr="00A410B2">
        <w:rPr>
          <w:rFonts w:ascii="Tahoma" w:hAnsi="Tahoma" w:cs="Tahoma"/>
        </w:rPr>
        <w:t>agricultural employment compared with 13.4 per</w:t>
      </w:r>
      <w:r w:rsidR="00E41956" w:rsidRPr="00A410B2">
        <w:rPr>
          <w:rFonts w:ascii="Tahoma" w:hAnsi="Tahoma" w:cs="Tahoma"/>
        </w:rPr>
        <w:t>cent statewide, figure 10</w:t>
      </w:r>
      <w:r w:rsidR="005F6E15" w:rsidRPr="00A410B2">
        <w:rPr>
          <w:rFonts w:ascii="Tahoma" w:hAnsi="Tahoma" w:cs="Tahoma"/>
        </w:rPr>
        <w:t xml:space="preserve"> shows that Waco is narrowing the gap with a</w:t>
      </w:r>
      <w:r w:rsidR="005F6E15" w:rsidRPr="00A410B2">
        <w:rPr>
          <w:rFonts w:ascii="Tahoma" w:hAnsi="Tahoma" w:cs="Tahoma"/>
        </w:rPr>
        <w:t>n</w:t>
      </w:r>
      <w:r w:rsidR="005F6E15" w:rsidRPr="00A410B2">
        <w:rPr>
          <w:rFonts w:ascii="Tahoma" w:hAnsi="Tahoma" w:cs="Tahoma"/>
        </w:rPr>
        <w:t xml:space="preserve">nual employment growth averaging </w:t>
      </w:r>
      <w:r w:rsidR="00C4623E">
        <w:rPr>
          <w:rFonts w:ascii="Tahoma" w:hAnsi="Tahoma" w:cs="Tahoma"/>
        </w:rPr>
        <w:t>12</w:t>
      </w:r>
      <w:r w:rsidR="005F6E15" w:rsidRPr="00A410B2">
        <w:rPr>
          <w:rFonts w:ascii="Tahoma" w:hAnsi="Tahoma" w:cs="Tahoma"/>
        </w:rPr>
        <w:t xml:space="preserve"> percent </w:t>
      </w:r>
      <w:r w:rsidR="00C4623E">
        <w:rPr>
          <w:rFonts w:ascii="Tahoma" w:hAnsi="Tahoma" w:cs="Tahoma"/>
        </w:rPr>
        <w:t>while</w:t>
      </w:r>
      <w:r w:rsidR="005F6E15" w:rsidRPr="00A410B2">
        <w:rPr>
          <w:rFonts w:ascii="Tahoma" w:hAnsi="Tahoma" w:cs="Tahoma"/>
        </w:rPr>
        <w:t xml:space="preserve"> statewide growth </w:t>
      </w:r>
      <w:r w:rsidR="00C4623E">
        <w:rPr>
          <w:rFonts w:ascii="Tahoma" w:hAnsi="Tahoma" w:cs="Tahoma"/>
        </w:rPr>
        <w:t xml:space="preserve">averages </w:t>
      </w:r>
      <w:r w:rsidR="005F6E15" w:rsidRPr="00A410B2">
        <w:rPr>
          <w:rFonts w:ascii="Tahoma" w:hAnsi="Tahoma" w:cs="Tahoma"/>
        </w:rPr>
        <w:t>around 4 percent</w:t>
      </w:r>
      <w:r w:rsidR="00760939" w:rsidRPr="00A410B2">
        <w:rPr>
          <w:rFonts w:ascii="Tahoma" w:hAnsi="Tahoma" w:cs="Tahoma"/>
        </w:rPr>
        <w:t>.</w:t>
      </w:r>
    </w:p>
    <w:p w:rsidR="00990C2D" w:rsidRDefault="00C4623E" w:rsidP="00A410B2">
      <w:pPr>
        <w:tabs>
          <w:tab w:val="left" w:pos="0"/>
          <w:tab w:val="left" w:pos="540"/>
        </w:tabs>
        <w:spacing w:after="0"/>
        <w:jc w:val="both"/>
        <w:rPr>
          <w:rFonts w:ascii="Tahoma" w:hAnsi="Tahoma" w:cs="Tahoma"/>
        </w:rPr>
      </w:pPr>
      <w:r>
        <w:rPr>
          <w:rFonts w:ascii="Tahoma" w:hAnsi="Tahoma" w:cs="Tahoma"/>
          <w:sz w:val="24"/>
          <w:szCs w:val="24"/>
        </w:rPr>
        <w:tab/>
      </w:r>
      <w:r w:rsidR="00990C2D">
        <w:rPr>
          <w:rFonts w:ascii="Tahoma" w:hAnsi="Tahoma" w:cs="Tahoma"/>
        </w:rPr>
        <w:t>Over the next year the number of</w:t>
      </w:r>
      <w:r w:rsidRPr="00C4623E">
        <w:rPr>
          <w:rFonts w:ascii="Tahoma" w:hAnsi="Tahoma" w:cs="Tahoma"/>
        </w:rPr>
        <w:t xml:space="preserve"> business and professional ser</w:t>
      </w:r>
      <w:r w:rsidR="00990C2D">
        <w:rPr>
          <w:rFonts w:ascii="Tahoma" w:hAnsi="Tahoma" w:cs="Tahoma"/>
        </w:rPr>
        <w:t>vices wor</w:t>
      </w:r>
      <w:r w:rsidR="00990C2D">
        <w:rPr>
          <w:rFonts w:ascii="Tahoma" w:hAnsi="Tahoma" w:cs="Tahoma"/>
        </w:rPr>
        <w:t>k</w:t>
      </w:r>
      <w:r w:rsidR="00990C2D">
        <w:rPr>
          <w:rFonts w:ascii="Tahoma" w:hAnsi="Tahoma" w:cs="Tahoma"/>
        </w:rPr>
        <w:t>ers</w:t>
      </w:r>
      <w:r w:rsidRPr="00C4623E">
        <w:rPr>
          <w:rFonts w:ascii="Tahoma" w:hAnsi="Tahoma" w:cs="Tahoma"/>
        </w:rPr>
        <w:t xml:space="preserve"> </w:t>
      </w:r>
      <w:r w:rsidR="00990C2D">
        <w:rPr>
          <w:rFonts w:ascii="Tahoma" w:hAnsi="Tahoma" w:cs="Tahoma"/>
        </w:rPr>
        <w:t>will</w:t>
      </w:r>
      <w:r w:rsidRPr="00C4623E">
        <w:rPr>
          <w:rFonts w:ascii="Tahoma" w:hAnsi="Tahoma" w:cs="Tahoma"/>
        </w:rPr>
        <w:t xml:space="preserve"> to continue to increase</w:t>
      </w:r>
      <w:r w:rsidR="00AE6580">
        <w:rPr>
          <w:rFonts w:ascii="Tahoma" w:hAnsi="Tahoma" w:cs="Tahoma"/>
        </w:rPr>
        <w:t>,</w:t>
      </w:r>
      <w:r w:rsidRPr="00C4623E">
        <w:rPr>
          <w:rFonts w:ascii="Tahoma" w:hAnsi="Tahoma" w:cs="Tahoma"/>
        </w:rPr>
        <w:t xml:space="preserve"> although the recent relatively high growth rate will be increasingly difficult to maintain as the level of employment rises.</w:t>
      </w:r>
    </w:p>
    <w:p w:rsidR="00C4623E" w:rsidRPr="00C4623E" w:rsidRDefault="00C4623E" w:rsidP="00A410B2">
      <w:pPr>
        <w:tabs>
          <w:tab w:val="left" w:pos="0"/>
          <w:tab w:val="left" w:pos="540"/>
        </w:tabs>
        <w:spacing w:after="0"/>
        <w:jc w:val="both"/>
        <w:rPr>
          <w:rFonts w:ascii="Tahoma" w:hAnsi="Tahoma" w:cs="Tahoma"/>
        </w:rPr>
        <w:sectPr w:rsidR="00C4623E" w:rsidRPr="00C4623E" w:rsidSect="00BC7E4B">
          <w:type w:val="continuous"/>
          <w:pgSz w:w="12240" w:h="15840"/>
          <w:pgMar w:top="1440" w:right="1350" w:bottom="1440" w:left="2070" w:header="720" w:footer="720" w:gutter="0"/>
          <w:cols w:num="2" w:space="720"/>
          <w:docGrid w:linePitch="360"/>
        </w:sectPr>
      </w:pPr>
      <w:r w:rsidRPr="00C4623E">
        <w:rPr>
          <w:rFonts w:ascii="Tahoma" w:hAnsi="Tahoma" w:cs="Tahoma"/>
        </w:rPr>
        <w:t xml:space="preserve">  </w:t>
      </w:r>
    </w:p>
    <w:p w:rsidR="005F6E15" w:rsidRPr="00A410B2" w:rsidRDefault="005F6E15" w:rsidP="00A410B2">
      <w:pPr>
        <w:tabs>
          <w:tab w:val="left" w:pos="0"/>
          <w:tab w:val="left" w:pos="540"/>
        </w:tabs>
        <w:spacing w:after="0"/>
        <w:jc w:val="both"/>
        <w:rPr>
          <w:rFonts w:ascii="Tahoma" w:hAnsi="Tahoma" w:cs="Tahoma"/>
        </w:rPr>
      </w:pPr>
      <w:r w:rsidRPr="00A410B2">
        <w:rPr>
          <w:rFonts w:ascii="Tahoma" w:hAnsi="Tahoma" w:cs="Tahoma"/>
        </w:rPr>
        <w:lastRenderedPageBreak/>
        <w:t xml:space="preserve"> </w:t>
      </w:r>
    </w:p>
    <w:p w:rsidR="00760939" w:rsidRPr="00A410B2" w:rsidRDefault="00760939" w:rsidP="005F6E15">
      <w:pPr>
        <w:tabs>
          <w:tab w:val="left" w:pos="0"/>
        </w:tabs>
        <w:spacing w:after="0"/>
        <w:jc w:val="both"/>
        <w:rPr>
          <w:rFonts w:ascii="Tahoma" w:hAnsi="Tahoma" w:cs="Tahoma"/>
        </w:rPr>
        <w:sectPr w:rsidR="00760939" w:rsidRPr="00A410B2" w:rsidSect="00BC7E4B">
          <w:type w:val="continuous"/>
          <w:pgSz w:w="12240" w:h="15840"/>
          <w:pgMar w:top="1440" w:right="1350" w:bottom="1440" w:left="2070" w:header="720" w:footer="720" w:gutter="0"/>
          <w:cols w:num="2" w:space="720"/>
          <w:docGrid w:linePitch="360"/>
        </w:sectPr>
      </w:pPr>
    </w:p>
    <w:p w:rsidR="005F6E15" w:rsidRDefault="00760939" w:rsidP="00C4623E">
      <w:pPr>
        <w:tabs>
          <w:tab w:val="left" w:pos="0"/>
        </w:tabs>
        <w:spacing w:after="0" w:line="240" w:lineRule="auto"/>
        <w:jc w:val="both"/>
        <w:rPr>
          <w:rFonts w:ascii="Tahoma" w:hAnsi="Tahoma" w:cs="Tahoma"/>
          <w:sz w:val="24"/>
          <w:szCs w:val="24"/>
        </w:rPr>
      </w:pPr>
      <w:r>
        <w:rPr>
          <w:noProof/>
        </w:rPr>
        <w:lastRenderedPageBreak/>
        <w:drawing>
          <wp:inline distT="0" distB="0" distL="0" distR="0" wp14:anchorId="2BCE43F6" wp14:editId="2311F448">
            <wp:extent cx="5574535" cy="2820318"/>
            <wp:effectExtent l="0" t="0" r="26670" b="184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60939" w:rsidRDefault="00760939" w:rsidP="00760939">
      <w:pPr>
        <w:tabs>
          <w:tab w:val="left" w:pos="0"/>
        </w:tabs>
        <w:spacing w:after="0" w:line="240" w:lineRule="auto"/>
        <w:jc w:val="both"/>
        <w:rPr>
          <w:rFonts w:ascii="Tahoma" w:hAnsi="Tahoma" w:cs="Tahoma"/>
          <w:sz w:val="24"/>
          <w:szCs w:val="24"/>
        </w:rPr>
      </w:pPr>
      <w:r w:rsidRPr="00896652">
        <w:rPr>
          <w:rFonts w:ascii="Tahoma" w:hAnsi="Tahoma" w:cs="Tahoma"/>
          <w:sz w:val="18"/>
          <w:szCs w:val="18"/>
        </w:rPr>
        <w:t>Source:  U.S. Bureau of Labor Statistics</w:t>
      </w:r>
    </w:p>
    <w:p w:rsidR="005F6E15" w:rsidRDefault="005F6E15" w:rsidP="005F6E15">
      <w:pPr>
        <w:tabs>
          <w:tab w:val="left" w:pos="0"/>
        </w:tabs>
        <w:spacing w:after="0"/>
        <w:jc w:val="both"/>
        <w:rPr>
          <w:rFonts w:ascii="Tahoma" w:hAnsi="Tahoma" w:cs="Tahoma"/>
          <w:sz w:val="24"/>
          <w:szCs w:val="24"/>
        </w:rPr>
        <w:sectPr w:rsidR="005F6E15" w:rsidSect="00760939">
          <w:type w:val="continuous"/>
          <w:pgSz w:w="12240" w:h="15840"/>
          <w:pgMar w:top="1440" w:right="1350" w:bottom="1440" w:left="2070" w:header="720" w:footer="720" w:gutter="0"/>
          <w:cols w:space="720"/>
          <w:docGrid w:linePitch="360"/>
        </w:sectPr>
      </w:pPr>
    </w:p>
    <w:p w:rsidR="00DB53DF" w:rsidRDefault="002F1896" w:rsidP="00E41956">
      <w:pPr>
        <w:tabs>
          <w:tab w:val="left" w:pos="0"/>
        </w:tabs>
        <w:spacing w:after="0"/>
        <w:jc w:val="both"/>
        <w:rPr>
          <w:sz w:val="24"/>
          <w:szCs w:val="24"/>
        </w:rPr>
      </w:pPr>
      <w:r>
        <w:rPr>
          <w:sz w:val="24"/>
          <w:szCs w:val="24"/>
        </w:rPr>
        <w:lastRenderedPageBreak/>
        <w:t xml:space="preserve"> </w:t>
      </w:r>
      <w:r w:rsidR="00385CC4">
        <w:rPr>
          <w:noProof/>
        </w:rPr>
        <w:drawing>
          <wp:inline distT="0" distB="0" distL="0" distR="0" wp14:anchorId="493210CC" wp14:editId="20BB30B6">
            <wp:extent cx="5541484" cy="2610998"/>
            <wp:effectExtent l="0" t="0" r="21590" b="1841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E16BE" w:rsidRDefault="00E41956" w:rsidP="00E41956">
      <w:pPr>
        <w:tabs>
          <w:tab w:val="left" w:pos="0"/>
        </w:tabs>
        <w:spacing w:after="120"/>
        <w:rPr>
          <w:sz w:val="24"/>
          <w:szCs w:val="24"/>
        </w:rPr>
      </w:pPr>
      <w:r>
        <w:rPr>
          <w:sz w:val="18"/>
          <w:szCs w:val="18"/>
        </w:rPr>
        <w:t>Sour</w:t>
      </w:r>
      <w:r w:rsidR="00437210">
        <w:rPr>
          <w:sz w:val="18"/>
          <w:szCs w:val="18"/>
        </w:rPr>
        <w:t>ce:</w:t>
      </w:r>
      <w:r w:rsidR="00DB53DF" w:rsidRPr="00E26BE5">
        <w:rPr>
          <w:sz w:val="18"/>
          <w:szCs w:val="18"/>
        </w:rPr>
        <w:t xml:space="preserve"> U.S. Bureau of Labor Statistics</w:t>
      </w:r>
      <w:r w:rsidR="00397276">
        <w:rPr>
          <w:sz w:val="24"/>
          <w:szCs w:val="24"/>
        </w:rPr>
        <w:tab/>
      </w:r>
    </w:p>
    <w:p w:rsidR="00E41956" w:rsidRPr="00C4623E" w:rsidRDefault="00E41956" w:rsidP="00C4623E">
      <w:pPr>
        <w:tabs>
          <w:tab w:val="left" w:pos="0"/>
        </w:tabs>
        <w:spacing w:after="0"/>
        <w:rPr>
          <w:rFonts w:ascii="Tahoma" w:hAnsi="Tahoma" w:cs="Tahoma"/>
          <w:sz w:val="16"/>
          <w:szCs w:val="16"/>
        </w:rPr>
      </w:pPr>
      <w:r w:rsidRPr="00C4623E">
        <w:rPr>
          <w:rFonts w:ascii="Tahoma" w:hAnsi="Tahoma" w:cs="Tahoma"/>
          <w:sz w:val="16"/>
          <w:szCs w:val="16"/>
        </w:rPr>
        <w:t>__________________________________</w:t>
      </w:r>
      <w:r w:rsidR="00C4623E">
        <w:rPr>
          <w:rFonts w:ascii="Tahoma" w:hAnsi="Tahoma" w:cs="Tahoma"/>
          <w:sz w:val="16"/>
          <w:szCs w:val="16"/>
        </w:rPr>
        <w:t>__________________________________________________________________</w:t>
      </w:r>
    </w:p>
    <w:p w:rsidR="00DB53DF" w:rsidRPr="00E41956" w:rsidRDefault="004E5A96" w:rsidP="00CF43F7">
      <w:pPr>
        <w:tabs>
          <w:tab w:val="left" w:pos="0"/>
        </w:tabs>
        <w:spacing w:before="120" w:after="120"/>
        <w:rPr>
          <w:rFonts w:ascii="Tahoma" w:hAnsi="Tahoma" w:cs="Tahoma"/>
          <w:sz w:val="28"/>
          <w:szCs w:val="28"/>
        </w:rPr>
      </w:pPr>
      <w:r w:rsidRPr="00E41956">
        <w:rPr>
          <w:rFonts w:ascii="Tahoma" w:hAnsi="Tahoma" w:cs="Tahoma"/>
          <w:sz w:val="28"/>
          <w:szCs w:val="28"/>
        </w:rPr>
        <w:t>Healthcare</w:t>
      </w:r>
      <w:r w:rsidR="00816F61" w:rsidRPr="00E41956">
        <w:rPr>
          <w:rFonts w:ascii="Tahoma" w:hAnsi="Tahoma" w:cs="Tahoma"/>
          <w:sz w:val="28"/>
          <w:szCs w:val="28"/>
        </w:rPr>
        <w:t xml:space="preserve"> and </w:t>
      </w:r>
      <w:r w:rsidRPr="00E41956">
        <w:rPr>
          <w:rFonts w:ascii="Tahoma" w:hAnsi="Tahoma" w:cs="Tahoma"/>
          <w:sz w:val="28"/>
          <w:szCs w:val="28"/>
        </w:rPr>
        <w:t>Social Assistance</w:t>
      </w:r>
    </w:p>
    <w:p w:rsidR="00F42B72" w:rsidRDefault="00F42B72" w:rsidP="00CF019A">
      <w:pPr>
        <w:tabs>
          <w:tab w:val="left" w:pos="0"/>
        </w:tabs>
        <w:spacing w:after="120"/>
        <w:jc w:val="both"/>
        <w:rPr>
          <w:sz w:val="28"/>
          <w:szCs w:val="28"/>
        </w:rPr>
        <w:sectPr w:rsidR="00F42B72" w:rsidSect="003E33D6">
          <w:type w:val="continuous"/>
          <w:pgSz w:w="12240" w:h="15840"/>
          <w:pgMar w:top="1440" w:right="1350" w:bottom="1440" w:left="2070" w:header="720" w:footer="720" w:gutter="0"/>
          <w:cols w:space="720"/>
          <w:docGrid w:linePitch="360"/>
        </w:sectPr>
      </w:pPr>
    </w:p>
    <w:p w:rsidR="00F42B72" w:rsidRPr="00C4623E" w:rsidRDefault="00F42B72" w:rsidP="007C121F">
      <w:pPr>
        <w:tabs>
          <w:tab w:val="left" w:pos="0"/>
          <w:tab w:val="left" w:pos="540"/>
        </w:tabs>
        <w:spacing w:after="0"/>
        <w:jc w:val="both"/>
        <w:rPr>
          <w:rFonts w:ascii="Tahoma" w:hAnsi="Tahoma" w:cs="Tahoma"/>
        </w:rPr>
      </w:pPr>
      <w:r>
        <w:rPr>
          <w:sz w:val="24"/>
          <w:szCs w:val="24"/>
        </w:rPr>
        <w:lastRenderedPageBreak/>
        <w:tab/>
      </w:r>
      <w:r w:rsidR="00804A15" w:rsidRPr="00C4623E">
        <w:rPr>
          <w:rFonts w:ascii="Tahoma" w:hAnsi="Tahoma" w:cs="Tahoma"/>
        </w:rPr>
        <w:t>Healthcare and social assistance establishments</w:t>
      </w:r>
      <w:r w:rsidR="00DD50F2" w:rsidRPr="00C4623E">
        <w:rPr>
          <w:rFonts w:ascii="Tahoma" w:hAnsi="Tahoma" w:cs="Tahoma"/>
        </w:rPr>
        <w:t xml:space="preserve"> in the Waco MSA</w:t>
      </w:r>
      <w:r w:rsidR="00804A15" w:rsidRPr="00C4623E">
        <w:rPr>
          <w:rFonts w:ascii="Tahoma" w:hAnsi="Tahoma" w:cs="Tahoma"/>
        </w:rPr>
        <w:t xml:space="preserve"> e</w:t>
      </w:r>
      <w:r w:rsidR="00804A15" w:rsidRPr="00C4623E">
        <w:rPr>
          <w:rFonts w:ascii="Tahoma" w:hAnsi="Tahoma" w:cs="Tahoma"/>
        </w:rPr>
        <w:t>m</w:t>
      </w:r>
      <w:r w:rsidR="00804A15" w:rsidRPr="00C4623E">
        <w:rPr>
          <w:rFonts w:ascii="Tahoma" w:hAnsi="Tahoma" w:cs="Tahoma"/>
        </w:rPr>
        <w:t>ploy</w:t>
      </w:r>
      <w:r w:rsidR="00DD50F2" w:rsidRPr="00C4623E">
        <w:rPr>
          <w:rFonts w:ascii="Tahoma" w:hAnsi="Tahoma" w:cs="Tahoma"/>
        </w:rPr>
        <w:t>ed</w:t>
      </w:r>
      <w:r w:rsidR="00804A15" w:rsidRPr="00C4623E">
        <w:rPr>
          <w:rFonts w:ascii="Tahoma" w:hAnsi="Tahoma" w:cs="Tahoma"/>
        </w:rPr>
        <w:t xml:space="preserve"> over 14.5 thousand workers </w:t>
      </w:r>
      <w:r w:rsidR="00AE6580">
        <w:rPr>
          <w:rFonts w:ascii="Tahoma" w:hAnsi="Tahoma" w:cs="Tahoma"/>
        </w:rPr>
        <w:t xml:space="preserve">in </w:t>
      </w:r>
      <w:r w:rsidR="00DD50F2" w:rsidRPr="00C4623E">
        <w:rPr>
          <w:rFonts w:ascii="Tahoma" w:hAnsi="Tahoma" w:cs="Tahoma"/>
        </w:rPr>
        <w:t>fourth quarter 2014</w:t>
      </w:r>
      <w:r w:rsidR="00804A15" w:rsidRPr="00C4623E">
        <w:rPr>
          <w:rFonts w:ascii="Tahoma" w:hAnsi="Tahoma" w:cs="Tahoma"/>
        </w:rPr>
        <w:t>.  However, as shown in figure 1</w:t>
      </w:r>
      <w:r w:rsidR="00C4623E">
        <w:rPr>
          <w:rFonts w:ascii="Tahoma" w:hAnsi="Tahoma" w:cs="Tahoma"/>
        </w:rPr>
        <w:t>1</w:t>
      </w:r>
      <w:r w:rsidR="00804A15" w:rsidRPr="00C4623E">
        <w:rPr>
          <w:rFonts w:ascii="Tahoma" w:hAnsi="Tahoma" w:cs="Tahoma"/>
        </w:rPr>
        <w:t xml:space="preserve">, </w:t>
      </w:r>
      <w:r w:rsidR="00DD50F2" w:rsidRPr="00C4623E">
        <w:rPr>
          <w:rFonts w:ascii="Tahoma" w:hAnsi="Tahoma" w:cs="Tahoma"/>
        </w:rPr>
        <w:t>after reaching 15,125 jobs in the mid</w:t>
      </w:r>
      <w:r w:rsidR="00C4623E">
        <w:rPr>
          <w:rFonts w:ascii="Tahoma" w:hAnsi="Tahoma" w:cs="Tahoma"/>
        </w:rPr>
        <w:t>-</w:t>
      </w:r>
      <w:r w:rsidR="00DD50F2" w:rsidRPr="00C4623E">
        <w:rPr>
          <w:rFonts w:ascii="Tahoma" w:hAnsi="Tahoma" w:cs="Tahoma"/>
        </w:rPr>
        <w:t xml:space="preserve">2010 employment in Waco’s healthcare and social assistance sector decreased by 2.8% in mid-2011 while statewide employment in the industry increased over 2.6%.  </w:t>
      </w:r>
    </w:p>
    <w:p w:rsidR="00F42B72" w:rsidRPr="00C4623E" w:rsidRDefault="00F42B72" w:rsidP="00C4623E">
      <w:pPr>
        <w:tabs>
          <w:tab w:val="left" w:pos="0"/>
          <w:tab w:val="left" w:pos="540"/>
        </w:tabs>
        <w:spacing w:after="120"/>
        <w:jc w:val="both"/>
        <w:rPr>
          <w:rFonts w:ascii="Tahoma" w:hAnsi="Tahoma" w:cs="Tahoma"/>
        </w:rPr>
      </w:pPr>
      <w:r w:rsidRPr="00C4623E">
        <w:rPr>
          <w:rFonts w:ascii="Tahoma" w:hAnsi="Tahoma" w:cs="Tahoma"/>
        </w:rPr>
        <w:lastRenderedPageBreak/>
        <w:tab/>
      </w:r>
      <w:r w:rsidR="00DD50F2" w:rsidRPr="00C4623E">
        <w:rPr>
          <w:rFonts w:ascii="Tahoma" w:hAnsi="Tahoma" w:cs="Tahoma"/>
        </w:rPr>
        <w:t>By the middle of 2014 Waco e</w:t>
      </w:r>
      <w:r w:rsidR="00DD50F2" w:rsidRPr="00C4623E">
        <w:rPr>
          <w:rFonts w:ascii="Tahoma" w:hAnsi="Tahoma" w:cs="Tahoma"/>
        </w:rPr>
        <w:t>m</w:t>
      </w:r>
      <w:r w:rsidR="00DD50F2" w:rsidRPr="00C4623E">
        <w:rPr>
          <w:rFonts w:ascii="Tahoma" w:hAnsi="Tahoma" w:cs="Tahoma"/>
        </w:rPr>
        <w:t>ployment in healthcare and social se</w:t>
      </w:r>
      <w:r w:rsidR="00DD50F2" w:rsidRPr="00C4623E">
        <w:rPr>
          <w:rFonts w:ascii="Tahoma" w:hAnsi="Tahoma" w:cs="Tahoma"/>
        </w:rPr>
        <w:t>r</w:t>
      </w:r>
      <w:r w:rsidR="00DD50F2" w:rsidRPr="00C4623E">
        <w:rPr>
          <w:rFonts w:ascii="Tahoma" w:hAnsi="Tahoma" w:cs="Tahoma"/>
        </w:rPr>
        <w:t>vices had fallen</w:t>
      </w:r>
      <w:r w:rsidR="00AE6580">
        <w:rPr>
          <w:rFonts w:ascii="Tahoma" w:hAnsi="Tahoma" w:cs="Tahoma"/>
        </w:rPr>
        <w:t xml:space="preserve"> by</w:t>
      </w:r>
      <w:r w:rsidR="00DD50F2" w:rsidRPr="00C4623E">
        <w:rPr>
          <w:rFonts w:ascii="Tahoma" w:hAnsi="Tahoma" w:cs="Tahoma"/>
        </w:rPr>
        <w:t xml:space="preserve"> 4</w:t>
      </w:r>
      <w:r w:rsidR="004F31E7" w:rsidRPr="00C4623E">
        <w:rPr>
          <w:rFonts w:ascii="Tahoma" w:hAnsi="Tahoma" w:cs="Tahoma"/>
        </w:rPr>
        <w:t xml:space="preserve">25 </w:t>
      </w:r>
      <w:r w:rsidR="00DD50F2" w:rsidRPr="00C4623E">
        <w:rPr>
          <w:rFonts w:ascii="Tahoma" w:hAnsi="Tahoma" w:cs="Tahoma"/>
        </w:rPr>
        <w:t xml:space="preserve">jobs </w:t>
      </w:r>
      <w:r w:rsidR="004F31E7" w:rsidRPr="00C4623E">
        <w:rPr>
          <w:rFonts w:ascii="Tahoma" w:hAnsi="Tahoma" w:cs="Tahoma"/>
        </w:rPr>
        <w:t xml:space="preserve">compared with mid-2010. </w:t>
      </w:r>
      <w:r w:rsidR="0021347E" w:rsidRPr="00C4623E">
        <w:rPr>
          <w:rFonts w:ascii="Tahoma" w:hAnsi="Tahoma" w:cs="Tahoma"/>
        </w:rPr>
        <w:t xml:space="preserve"> </w:t>
      </w:r>
      <w:r w:rsidR="007C121F" w:rsidRPr="007C121F">
        <w:rPr>
          <w:rFonts w:ascii="Tahoma" w:hAnsi="Tahoma" w:cs="Tahoma"/>
        </w:rPr>
        <w:t>The primary reason for the dip in employment was fewer hosp</w:t>
      </w:r>
      <w:r w:rsidR="007C121F" w:rsidRPr="007C121F">
        <w:rPr>
          <w:rFonts w:ascii="Tahoma" w:hAnsi="Tahoma" w:cs="Tahoma"/>
        </w:rPr>
        <w:t>i</w:t>
      </w:r>
      <w:r w:rsidR="007C121F" w:rsidRPr="007C121F">
        <w:rPr>
          <w:rFonts w:ascii="Tahoma" w:hAnsi="Tahoma" w:cs="Tahoma"/>
        </w:rPr>
        <w:t xml:space="preserve">tal employees </w:t>
      </w:r>
      <w:r w:rsidR="007C121F" w:rsidRPr="00C4623E">
        <w:rPr>
          <w:rFonts w:ascii="Tahoma" w:hAnsi="Tahoma" w:cs="Tahoma"/>
        </w:rPr>
        <w:t>due to consolidation and rising productivity</w:t>
      </w:r>
      <w:r w:rsidR="008024E1">
        <w:rPr>
          <w:rFonts w:ascii="Tahoma" w:hAnsi="Tahoma" w:cs="Tahoma"/>
        </w:rPr>
        <w:t>, but jobs cuts</w:t>
      </w:r>
      <w:r w:rsidR="007C121F" w:rsidRPr="00C4623E">
        <w:rPr>
          <w:rFonts w:ascii="Tahoma" w:hAnsi="Tahoma" w:cs="Tahoma"/>
        </w:rPr>
        <w:t xml:space="preserve"> </w:t>
      </w:r>
      <w:r w:rsidR="008024E1">
        <w:rPr>
          <w:rFonts w:ascii="Tahoma" w:hAnsi="Tahoma" w:cs="Tahoma"/>
        </w:rPr>
        <w:t xml:space="preserve">ended </w:t>
      </w:r>
      <w:r w:rsidR="007C121F" w:rsidRPr="00C4623E">
        <w:rPr>
          <w:rFonts w:ascii="Tahoma" w:hAnsi="Tahoma" w:cs="Tahoma"/>
        </w:rPr>
        <w:t>in mid-2014</w:t>
      </w:r>
      <w:r w:rsidR="007C121F">
        <w:rPr>
          <w:rFonts w:ascii="Tahoma" w:hAnsi="Tahoma" w:cs="Tahoma"/>
        </w:rPr>
        <w:t xml:space="preserve"> and </w:t>
      </w:r>
      <w:r w:rsidR="008024E1">
        <w:rPr>
          <w:rFonts w:ascii="Tahoma" w:hAnsi="Tahoma" w:cs="Tahoma"/>
        </w:rPr>
        <w:t>are</w:t>
      </w:r>
      <w:r w:rsidR="007C121F">
        <w:rPr>
          <w:rFonts w:ascii="Tahoma" w:hAnsi="Tahoma" w:cs="Tahoma"/>
        </w:rPr>
        <w:t xml:space="preserve"> projected to increase </w:t>
      </w:r>
      <w:r w:rsidR="008024E1">
        <w:rPr>
          <w:rFonts w:ascii="Tahoma" w:hAnsi="Tahoma" w:cs="Tahoma"/>
        </w:rPr>
        <w:t>with the rising future demand for healthcare and social services</w:t>
      </w:r>
      <w:r w:rsidR="007C121F">
        <w:rPr>
          <w:rFonts w:ascii="Tahoma" w:hAnsi="Tahoma" w:cs="Tahoma"/>
        </w:rPr>
        <w:t>.</w:t>
      </w:r>
    </w:p>
    <w:p w:rsidR="00F42B72" w:rsidRDefault="00F42B72" w:rsidP="00CF019A">
      <w:pPr>
        <w:tabs>
          <w:tab w:val="left" w:pos="0"/>
        </w:tabs>
        <w:spacing w:after="120"/>
        <w:jc w:val="both"/>
        <w:rPr>
          <w:rFonts w:ascii="Tahoma" w:hAnsi="Tahoma" w:cs="Tahoma"/>
          <w:sz w:val="24"/>
          <w:szCs w:val="24"/>
        </w:rPr>
        <w:sectPr w:rsidR="00F42B72" w:rsidSect="00F42B72">
          <w:type w:val="continuous"/>
          <w:pgSz w:w="12240" w:h="15840"/>
          <w:pgMar w:top="1440" w:right="1350" w:bottom="1440" w:left="2070" w:header="720" w:footer="720" w:gutter="0"/>
          <w:cols w:num="2" w:space="720"/>
          <w:docGrid w:linePitch="360"/>
        </w:sectPr>
      </w:pPr>
    </w:p>
    <w:p w:rsidR="00F42B72" w:rsidRDefault="00816F61" w:rsidP="00AE6580">
      <w:pPr>
        <w:tabs>
          <w:tab w:val="left" w:pos="0"/>
        </w:tabs>
        <w:spacing w:after="0" w:line="240" w:lineRule="auto"/>
        <w:jc w:val="both"/>
        <w:rPr>
          <w:sz w:val="24"/>
          <w:szCs w:val="24"/>
        </w:rPr>
        <w:sectPr w:rsidR="00F42B72" w:rsidSect="00F42B72">
          <w:type w:val="continuous"/>
          <w:pgSz w:w="12240" w:h="15840"/>
          <w:pgMar w:top="1440" w:right="1350" w:bottom="1440" w:left="2070" w:header="720" w:footer="720" w:gutter="0"/>
          <w:cols w:space="720"/>
          <w:docGrid w:linePitch="360"/>
        </w:sectPr>
      </w:pPr>
      <w:r w:rsidRPr="007C121F">
        <w:rPr>
          <w:rFonts w:ascii="Tahoma" w:hAnsi="Tahoma" w:cs="Tahoma"/>
          <w:sz w:val="16"/>
          <w:szCs w:val="16"/>
        </w:rPr>
        <w:lastRenderedPageBreak/>
        <w:t xml:space="preserve">  </w:t>
      </w:r>
      <w:r w:rsidR="004F31E7" w:rsidRPr="007C121F">
        <w:rPr>
          <w:rFonts w:ascii="Tahoma" w:hAnsi="Tahoma" w:cs="Tahoma"/>
          <w:sz w:val="16"/>
          <w:szCs w:val="16"/>
        </w:rPr>
        <w:t xml:space="preserve"> </w:t>
      </w:r>
      <w:r w:rsidR="00DD50F2" w:rsidRPr="007C121F">
        <w:rPr>
          <w:rFonts w:ascii="Tahoma" w:hAnsi="Tahoma" w:cs="Tahoma"/>
          <w:sz w:val="16"/>
          <w:szCs w:val="16"/>
        </w:rPr>
        <w:t xml:space="preserve"> </w:t>
      </w:r>
      <w:r w:rsidR="00DD50F2" w:rsidRPr="007C121F">
        <w:rPr>
          <w:rFonts w:ascii="Tahoma" w:hAnsi="Tahoma" w:cs="Tahoma"/>
          <w:noProof/>
        </w:rPr>
        <w:drawing>
          <wp:inline distT="0" distB="0" distL="0" distR="0" wp14:anchorId="5D528E43" wp14:editId="43289108">
            <wp:extent cx="5552501" cy="2489812"/>
            <wp:effectExtent l="0" t="0" r="10160" b="254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F31E7" w:rsidRPr="009961BB" w:rsidRDefault="004F31E7" w:rsidP="007C121F">
      <w:pPr>
        <w:tabs>
          <w:tab w:val="left" w:pos="0"/>
        </w:tabs>
        <w:spacing w:after="0" w:line="240" w:lineRule="auto"/>
        <w:rPr>
          <w:rFonts w:ascii="Tahoma" w:hAnsi="Tahoma" w:cs="Tahoma"/>
          <w:sz w:val="18"/>
          <w:szCs w:val="18"/>
        </w:rPr>
      </w:pPr>
      <w:r w:rsidRPr="009961BB">
        <w:rPr>
          <w:rFonts w:ascii="Tahoma" w:hAnsi="Tahoma" w:cs="Tahoma"/>
          <w:sz w:val="18"/>
          <w:szCs w:val="18"/>
        </w:rPr>
        <w:lastRenderedPageBreak/>
        <w:t>Source:  U.S. Bureau of Labor Statistics</w:t>
      </w:r>
    </w:p>
    <w:p w:rsidR="00AE6580" w:rsidRDefault="004F31E7" w:rsidP="007C121F">
      <w:pPr>
        <w:tabs>
          <w:tab w:val="left" w:pos="0"/>
          <w:tab w:val="left" w:pos="540"/>
        </w:tabs>
        <w:spacing w:after="120"/>
        <w:jc w:val="both"/>
        <w:rPr>
          <w:rFonts w:ascii="Tahoma" w:hAnsi="Tahoma" w:cs="Tahoma"/>
        </w:rPr>
      </w:pPr>
      <w:r>
        <w:rPr>
          <w:sz w:val="24"/>
          <w:szCs w:val="24"/>
        </w:rPr>
        <w:lastRenderedPageBreak/>
        <w:tab/>
      </w:r>
      <w:r w:rsidR="007C121F" w:rsidRPr="00AA3CA2">
        <w:rPr>
          <w:rFonts w:ascii="Tahoma" w:hAnsi="Tahoma" w:cs="Tahoma"/>
        </w:rPr>
        <w:t>Figure 12 shows</w:t>
      </w:r>
      <w:r w:rsidR="009933A0">
        <w:rPr>
          <w:rFonts w:ascii="Tahoma" w:hAnsi="Tahoma" w:cs="Tahoma"/>
        </w:rPr>
        <w:t xml:space="preserve"> that</w:t>
      </w:r>
      <w:r w:rsidR="007C121F" w:rsidRPr="00AA3CA2">
        <w:rPr>
          <w:rFonts w:ascii="Tahoma" w:hAnsi="Tahoma" w:cs="Tahoma"/>
        </w:rPr>
        <w:t xml:space="preserve"> </w:t>
      </w:r>
      <w:r w:rsidR="009933A0" w:rsidRPr="00AA3CA2">
        <w:rPr>
          <w:rFonts w:ascii="Tahoma" w:hAnsi="Tahoma" w:cs="Tahoma"/>
        </w:rPr>
        <w:t>despite the reduction in employment</w:t>
      </w:r>
      <w:r w:rsidR="00900315">
        <w:rPr>
          <w:rFonts w:ascii="Tahoma" w:hAnsi="Tahoma" w:cs="Tahoma"/>
        </w:rPr>
        <w:t>,</w:t>
      </w:r>
      <w:r w:rsidR="009933A0" w:rsidRPr="00AA3CA2">
        <w:rPr>
          <w:rFonts w:ascii="Tahoma" w:hAnsi="Tahoma" w:cs="Tahoma"/>
        </w:rPr>
        <w:t xml:space="preserve"> </w:t>
      </w:r>
      <w:r w:rsidR="00AA3CA2" w:rsidRPr="00AA3CA2">
        <w:rPr>
          <w:rFonts w:ascii="Tahoma" w:hAnsi="Tahoma" w:cs="Tahoma"/>
        </w:rPr>
        <w:t xml:space="preserve">the </w:t>
      </w:r>
      <w:r w:rsidR="00900315">
        <w:rPr>
          <w:rFonts w:ascii="Tahoma" w:hAnsi="Tahoma" w:cs="Tahoma"/>
        </w:rPr>
        <w:t xml:space="preserve">growth rate in </w:t>
      </w:r>
      <w:r w:rsidR="00AA3CA2" w:rsidRPr="00AA3CA2">
        <w:rPr>
          <w:rFonts w:ascii="Tahoma" w:hAnsi="Tahoma" w:cs="Tahoma"/>
        </w:rPr>
        <w:t>gross sales by healthcare and s</w:t>
      </w:r>
      <w:r w:rsidR="00AA3CA2" w:rsidRPr="00AA3CA2">
        <w:rPr>
          <w:rFonts w:ascii="Tahoma" w:hAnsi="Tahoma" w:cs="Tahoma"/>
        </w:rPr>
        <w:t>o</w:t>
      </w:r>
      <w:r w:rsidR="00AA3CA2" w:rsidRPr="00AA3CA2">
        <w:rPr>
          <w:rFonts w:ascii="Tahoma" w:hAnsi="Tahoma" w:cs="Tahoma"/>
        </w:rPr>
        <w:t xml:space="preserve">cial services </w:t>
      </w:r>
      <w:r w:rsidR="009933A0">
        <w:rPr>
          <w:rFonts w:ascii="Tahoma" w:hAnsi="Tahoma" w:cs="Tahoma"/>
        </w:rPr>
        <w:t>increased</w:t>
      </w:r>
      <w:r w:rsidR="00AA3CA2" w:rsidRPr="00AA3CA2">
        <w:rPr>
          <w:rFonts w:ascii="Tahoma" w:hAnsi="Tahoma" w:cs="Tahoma"/>
        </w:rPr>
        <w:t xml:space="preserve"> over the same p</w:t>
      </w:r>
      <w:r w:rsidR="00AA3CA2" w:rsidRPr="00AA3CA2">
        <w:rPr>
          <w:rFonts w:ascii="Tahoma" w:hAnsi="Tahoma" w:cs="Tahoma"/>
        </w:rPr>
        <w:t>e</w:t>
      </w:r>
      <w:r w:rsidR="00AA3CA2" w:rsidRPr="00AA3CA2">
        <w:rPr>
          <w:rFonts w:ascii="Tahoma" w:hAnsi="Tahoma" w:cs="Tahoma"/>
        </w:rPr>
        <w:t xml:space="preserve">riod.  </w:t>
      </w:r>
      <w:r w:rsidR="00900315">
        <w:rPr>
          <w:rFonts w:ascii="Tahoma" w:hAnsi="Tahoma" w:cs="Tahoma"/>
        </w:rPr>
        <w:t xml:space="preserve">But by mid-2014 the increase in </w:t>
      </w:r>
      <w:r w:rsidR="00900315">
        <w:rPr>
          <w:rFonts w:ascii="Tahoma" w:hAnsi="Tahoma" w:cs="Tahoma"/>
        </w:rPr>
        <w:lastRenderedPageBreak/>
        <w:t>sales per worker</w:t>
      </w:r>
      <w:r w:rsidR="009933A0">
        <w:rPr>
          <w:rFonts w:ascii="Tahoma" w:hAnsi="Tahoma" w:cs="Tahoma"/>
        </w:rPr>
        <w:t xml:space="preserve"> </w:t>
      </w:r>
      <w:r w:rsidR="00900315">
        <w:rPr>
          <w:rFonts w:ascii="Tahoma" w:hAnsi="Tahoma" w:cs="Tahoma"/>
        </w:rPr>
        <w:t xml:space="preserve">have reached their limit with </w:t>
      </w:r>
      <w:r w:rsidR="00CF43F7">
        <w:rPr>
          <w:rFonts w:ascii="Tahoma" w:hAnsi="Tahoma" w:cs="Tahoma"/>
        </w:rPr>
        <w:t xml:space="preserve"> </w:t>
      </w:r>
      <w:r w:rsidR="00AA3CA2" w:rsidRPr="00AA3CA2">
        <w:rPr>
          <w:rFonts w:ascii="Tahoma" w:hAnsi="Tahoma" w:cs="Tahoma"/>
        </w:rPr>
        <w:t xml:space="preserve">future increases in </w:t>
      </w:r>
      <w:r w:rsidR="00900315">
        <w:rPr>
          <w:rFonts w:ascii="Tahoma" w:hAnsi="Tahoma" w:cs="Tahoma"/>
        </w:rPr>
        <w:t xml:space="preserve">sales requiring additional hiring of workers </w:t>
      </w:r>
      <w:r w:rsidR="00AA3CA2" w:rsidRPr="00AA3CA2">
        <w:rPr>
          <w:rFonts w:ascii="Tahoma" w:hAnsi="Tahoma" w:cs="Tahoma"/>
        </w:rPr>
        <w:t xml:space="preserve">to </w:t>
      </w:r>
      <w:r w:rsidR="00900315">
        <w:rPr>
          <w:rFonts w:ascii="Tahoma" w:hAnsi="Tahoma" w:cs="Tahoma"/>
        </w:rPr>
        <w:t xml:space="preserve">meet local area demands for </w:t>
      </w:r>
      <w:r w:rsidR="00AA3CA2" w:rsidRPr="00AA3CA2">
        <w:rPr>
          <w:rFonts w:ascii="Tahoma" w:hAnsi="Tahoma" w:cs="Tahoma"/>
        </w:rPr>
        <w:t>in</w:t>
      </w:r>
      <w:r w:rsidR="00CF43F7">
        <w:rPr>
          <w:rFonts w:ascii="Tahoma" w:hAnsi="Tahoma" w:cs="Tahoma"/>
        </w:rPr>
        <w:t xml:space="preserve">creased </w:t>
      </w:r>
      <w:r w:rsidR="00AA3CA2" w:rsidRPr="00AA3CA2">
        <w:rPr>
          <w:rFonts w:ascii="Tahoma" w:hAnsi="Tahoma" w:cs="Tahoma"/>
        </w:rPr>
        <w:t>healthcare and social services.</w:t>
      </w:r>
    </w:p>
    <w:p w:rsidR="00AE6580" w:rsidRDefault="00AE6580" w:rsidP="007C121F">
      <w:pPr>
        <w:tabs>
          <w:tab w:val="left" w:pos="0"/>
          <w:tab w:val="left" w:pos="540"/>
        </w:tabs>
        <w:spacing w:after="120"/>
        <w:jc w:val="both"/>
        <w:rPr>
          <w:rFonts w:ascii="Tahoma" w:hAnsi="Tahoma" w:cs="Tahoma"/>
        </w:rPr>
        <w:sectPr w:rsidR="00AE6580" w:rsidSect="00A674D5">
          <w:type w:val="continuous"/>
          <w:pgSz w:w="12240" w:h="15840"/>
          <w:pgMar w:top="1440" w:right="1350" w:bottom="1440" w:left="2070" w:header="720" w:footer="720" w:gutter="0"/>
          <w:cols w:num="2" w:space="720"/>
          <w:docGrid w:linePitch="360"/>
        </w:sectPr>
      </w:pPr>
    </w:p>
    <w:p w:rsidR="00AA3CA2" w:rsidRPr="00AE6580" w:rsidRDefault="00AA3CA2" w:rsidP="007C121F">
      <w:pPr>
        <w:tabs>
          <w:tab w:val="left" w:pos="0"/>
          <w:tab w:val="left" w:pos="540"/>
        </w:tabs>
        <w:spacing w:after="120"/>
        <w:jc w:val="both"/>
        <w:rPr>
          <w:rFonts w:ascii="Tahoma" w:hAnsi="Tahoma" w:cs="Tahoma"/>
          <w:sz w:val="16"/>
          <w:szCs w:val="16"/>
        </w:rPr>
      </w:pPr>
    </w:p>
    <w:p w:rsidR="00AA3CA2" w:rsidRPr="00AE6580" w:rsidRDefault="00AA3CA2" w:rsidP="007C121F">
      <w:pPr>
        <w:tabs>
          <w:tab w:val="left" w:pos="0"/>
          <w:tab w:val="left" w:pos="540"/>
        </w:tabs>
        <w:spacing w:after="120"/>
        <w:jc w:val="both"/>
        <w:rPr>
          <w:sz w:val="16"/>
          <w:szCs w:val="16"/>
        </w:rPr>
        <w:sectPr w:rsidR="00AA3CA2" w:rsidRPr="00AE6580" w:rsidSect="00A674D5">
          <w:type w:val="continuous"/>
          <w:pgSz w:w="12240" w:h="15840"/>
          <w:pgMar w:top="1440" w:right="1350" w:bottom="1440" w:left="2070" w:header="720" w:footer="720" w:gutter="0"/>
          <w:cols w:num="2" w:space="720"/>
          <w:docGrid w:linePitch="360"/>
        </w:sectPr>
      </w:pPr>
    </w:p>
    <w:p w:rsidR="00CD58F2" w:rsidRPr="007C121F" w:rsidRDefault="00AA3CA2" w:rsidP="003819DD">
      <w:pPr>
        <w:tabs>
          <w:tab w:val="left" w:pos="0"/>
          <w:tab w:val="left" w:pos="540"/>
        </w:tabs>
        <w:spacing w:after="0"/>
        <w:jc w:val="both"/>
      </w:pPr>
      <w:r>
        <w:rPr>
          <w:sz w:val="24"/>
          <w:szCs w:val="24"/>
        </w:rPr>
        <w:lastRenderedPageBreak/>
        <w:t xml:space="preserve"> </w:t>
      </w:r>
      <w:r w:rsidR="00CD58F2" w:rsidRPr="00AA3CA2">
        <w:rPr>
          <w:rFonts w:ascii="Tahoma" w:hAnsi="Tahoma" w:cs="Tahoma"/>
          <w:noProof/>
        </w:rPr>
        <w:drawing>
          <wp:inline distT="0" distB="0" distL="0" distR="0" wp14:anchorId="17C0F1E2" wp14:editId="600C1908">
            <wp:extent cx="5552501" cy="2599981"/>
            <wp:effectExtent l="0" t="0" r="10160" b="1016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D58F2" w:rsidRPr="007C121F" w:rsidRDefault="00CD58F2" w:rsidP="00CD58F2">
      <w:pPr>
        <w:tabs>
          <w:tab w:val="left" w:pos="0"/>
        </w:tabs>
        <w:spacing w:after="0"/>
        <w:jc w:val="both"/>
        <w:rPr>
          <w:rFonts w:ascii="Tahoma" w:hAnsi="Tahoma" w:cs="Tahoma"/>
          <w:sz w:val="18"/>
          <w:szCs w:val="18"/>
        </w:rPr>
      </w:pPr>
      <w:r w:rsidRPr="007C121F">
        <w:rPr>
          <w:rFonts w:ascii="Tahoma" w:hAnsi="Tahoma" w:cs="Tahoma"/>
          <w:sz w:val="18"/>
          <w:szCs w:val="18"/>
        </w:rPr>
        <w:t>Source:  Texas Comptroller of Public Accounts</w:t>
      </w:r>
    </w:p>
    <w:p w:rsidR="00AE6580" w:rsidRDefault="00AE6580" w:rsidP="00AE6580">
      <w:pPr>
        <w:tabs>
          <w:tab w:val="left" w:pos="0"/>
        </w:tabs>
        <w:spacing w:after="0"/>
        <w:jc w:val="both"/>
        <w:rPr>
          <w:rFonts w:ascii="Tahoma" w:hAnsi="Tahoma" w:cs="Tahoma"/>
          <w:sz w:val="28"/>
          <w:szCs w:val="28"/>
        </w:rPr>
      </w:pPr>
      <w:r>
        <w:rPr>
          <w:rFonts w:ascii="Tahoma" w:hAnsi="Tahoma" w:cs="Tahoma"/>
          <w:sz w:val="28"/>
          <w:szCs w:val="28"/>
        </w:rPr>
        <w:t>_________________________________________________________</w:t>
      </w:r>
    </w:p>
    <w:p w:rsidR="00B6359C" w:rsidRPr="00B25601" w:rsidRDefault="00B6359C" w:rsidP="00AE6580">
      <w:pPr>
        <w:tabs>
          <w:tab w:val="left" w:pos="0"/>
        </w:tabs>
        <w:spacing w:after="120"/>
        <w:jc w:val="both"/>
        <w:rPr>
          <w:rFonts w:ascii="Tahoma" w:hAnsi="Tahoma" w:cs="Tahoma"/>
          <w:sz w:val="28"/>
          <w:szCs w:val="28"/>
        </w:rPr>
      </w:pPr>
      <w:r w:rsidRPr="00B25601">
        <w:rPr>
          <w:rFonts w:ascii="Tahoma" w:hAnsi="Tahoma" w:cs="Tahoma"/>
          <w:sz w:val="28"/>
          <w:szCs w:val="28"/>
        </w:rPr>
        <w:t xml:space="preserve">Educational Services  </w:t>
      </w:r>
    </w:p>
    <w:p w:rsidR="00B25601" w:rsidRDefault="00B25601" w:rsidP="00992599">
      <w:pPr>
        <w:tabs>
          <w:tab w:val="left" w:pos="0"/>
        </w:tabs>
        <w:spacing w:before="120" w:after="0"/>
        <w:jc w:val="both"/>
        <w:rPr>
          <w:sz w:val="24"/>
          <w:szCs w:val="24"/>
        </w:rPr>
        <w:sectPr w:rsidR="00B25601" w:rsidSect="009961BB">
          <w:type w:val="continuous"/>
          <w:pgSz w:w="12240" w:h="15840"/>
          <w:pgMar w:top="1440" w:right="1350" w:bottom="1440" w:left="2070" w:header="720" w:footer="720" w:gutter="0"/>
          <w:cols w:space="720"/>
          <w:docGrid w:linePitch="360"/>
        </w:sectPr>
      </w:pPr>
    </w:p>
    <w:p w:rsidR="00F518C2" w:rsidRDefault="00B25601" w:rsidP="00F518C2">
      <w:pPr>
        <w:tabs>
          <w:tab w:val="left" w:pos="0"/>
          <w:tab w:val="left" w:pos="540"/>
        </w:tabs>
        <w:spacing w:after="0"/>
        <w:jc w:val="both"/>
        <w:rPr>
          <w:rFonts w:ascii="Tahoma" w:hAnsi="Tahoma" w:cs="Tahoma"/>
        </w:rPr>
      </w:pPr>
      <w:r>
        <w:rPr>
          <w:sz w:val="24"/>
          <w:szCs w:val="24"/>
        </w:rPr>
        <w:lastRenderedPageBreak/>
        <w:tab/>
      </w:r>
      <w:r w:rsidRPr="00B25601">
        <w:rPr>
          <w:rFonts w:ascii="Tahoma" w:hAnsi="Tahoma" w:cs="Tahoma"/>
        </w:rPr>
        <w:t>M</w:t>
      </w:r>
      <w:r w:rsidR="00B6359C" w:rsidRPr="00B25601">
        <w:rPr>
          <w:rFonts w:ascii="Tahoma" w:hAnsi="Tahoma" w:cs="Tahoma"/>
        </w:rPr>
        <w:t>onthly</w:t>
      </w:r>
      <w:r w:rsidRPr="00B25601">
        <w:rPr>
          <w:rFonts w:ascii="Tahoma" w:hAnsi="Tahoma" w:cs="Tahoma"/>
        </w:rPr>
        <w:t xml:space="preserve"> BLS local</w:t>
      </w:r>
      <w:r w:rsidR="00B6359C" w:rsidRPr="00B25601">
        <w:rPr>
          <w:rFonts w:ascii="Tahoma" w:hAnsi="Tahoma" w:cs="Tahoma"/>
        </w:rPr>
        <w:t xml:space="preserve"> employment </w:t>
      </w:r>
      <w:r w:rsidRPr="00B25601">
        <w:rPr>
          <w:rFonts w:ascii="Tahoma" w:hAnsi="Tahoma" w:cs="Tahoma"/>
        </w:rPr>
        <w:t>e</w:t>
      </w:r>
      <w:r w:rsidRPr="00B25601">
        <w:rPr>
          <w:rFonts w:ascii="Tahoma" w:hAnsi="Tahoma" w:cs="Tahoma"/>
        </w:rPr>
        <w:t>s</w:t>
      </w:r>
      <w:r w:rsidRPr="00B25601">
        <w:rPr>
          <w:rFonts w:ascii="Tahoma" w:hAnsi="Tahoma" w:cs="Tahoma"/>
        </w:rPr>
        <w:t>timates consolidate</w:t>
      </w:r>
      <w:r w:rsidR="00B6359C" w:rsidRPr="00B25601">
        <w:rPr>
          <w:rFonts w:ascii="Tahoma" w:hAnsi="Tahoma" w:cs="Tahoma"/>
        </w:rPr>
        <w:t xml:space="preserve"> educational services with healthcare services</w:t>
      </w:r>
      <w:r w:rsidRPr="00B25601">
        <w:rPr>
          <w:rFonts w:ascii="Tahoma" w:hAnsi="Tahoma" w:cs="Tahoma"/>
        </w:rPr>
        <w:t xml:space="preserve"> that </w:t>
      </w:r>
      <w:r>
        <w:rPr>
          <w:rFonts w:ascii="Tahoma" w:hAnsi="Tahoma" w:cs="Tahoma"/>
        </w:rPr>
        <w:t>are</w:t>
      </w:r>
      <w:r w:rsidRPr="00B25601">
        <w:rPr>
          <w:rFonts w:ascii="Tahoma" w:hAnsi="Tahoma" w:cs="Tahoma"/>
        </w:rPr>
        <w:t xml:space="preserve"> subs</w:t>
      </w:r>
      <w:r w:rsidRPr="00B25601">
        <w:rPr>
          <w:rFonts w:ascii="Tahoma" w:hAnsi="Tahoma" w:cs="Tahoma"/>
        </w:rPr>
        <w:t>e</w:t>
      </w:r>
      <w:r w:rsidRPr="00B25601">
        <w:rPr>
          <w:rFonts w:ascii="Tahoma" w:hAnsi="Tahoma" w:cs="Tahoma"/>
        </w:rPr>
        <w:t>quently separated in quarterly reports</w:t>
      </w:r>
      <w:r w:rsidR="00B6359C" w:rsidRPr="00B25601">
        <w:rPr>
          <w:rFonts w:ascii="Tahoma" w:hAnsi="Tahoma" w:cs="Tahoma"/>
        </w:rPr>
        <w:t xml:space="preserve">.  </w:t>
      </w:r>
      <w:r w:rsidR="00571FF0" w:rsidRPr="00B25601">
        <w:rPr>
          <w:rFonts w:ascii="Tahoma" w:hAnsi="Tahoma" w:cs="Tahoma"/>
        </w:rPr>
        <w:t xml:space="preserve">Waco MSA 4th quarter 2014 employment </w:t>
      </w:r>
      <w:r w:rsidR="00F518C2">
        <w:rPr>
          <w:rFonts w:ascii="Tahoma" w:hAnsi="Tahoma" w:cs="Tahoma"/>
        </w:rPr>
        <w:t xml:space="preserve">in </w:t>
      </w:r>
      <w:r w:rsidR="00571FF0" w:rsidRPr="00B25601">
        <w:rPr>
          <w:rFonts w:ascii="Tahoma" w:hAnsi="Tahoma" w:cs="Tahoma"/>
        </w:rPr>
        <w:t xml:space="preserve">educational services averaged 13.4 thousand, only about 1.2 thousand less than in healthcare and social services.  Average weekly earnings per worker in 4th quarter 2014 in educational services amounted to $848 compared with $858 in healthcare and social services.  </w:t>
      </w:r>
      <w:r w:rsidR="00C05D8B" w:rsidRPr="00B25601">
        <w:rPr>
          <w:rFonts w:ascii="Tahoma" w:hAnsi="Tahoma" w:cs="Tahoma"/>
        </w:rPr>
        <w:t xml:space="preserve">The 2014 annual rate of growth in gross sales in healthcare and social services was 8.5% compared with an annual growth of 9.5% in educational services. </w:t>
      </w:r>
    </w:p>
    <w:p w:rsidR="00F518C2" w:rsidRDefault="00F518C2" w:rsidP="00F518C2">
      <w:pPr>
        <w:tabs>
          <w:tab w:val="left" w:pos="0"/>
          <w:tab w:val="left" w:pos="540"/>
        </w:tabs>
        <w:spacing w:after="0"/>
        <w:jc w:val="both"/>
        <w:rPr>
          <w:rFonts w:ascii="Tahoma" w:hAnsi="Tahoma" w:cs="Tahoma"/>
        </w:rPr>
      </w:pPr>
      <w:r>
        <w:rPr>
          <w:rFonts w:ascii="Tahoma" w:hAnsi="Tahoma" w:cs="Tahoma"/>
        </w:rPr>
        <w:tab/>
      </w:r>
      <w:r w:rsidRPr="00B25601">
        <w:rPr>
          <w:rFonts w:ascii="Tahoma" w:hAnsi="Tahoma" w:cs="Tahoma"/>
        </w:rPr>
        <w:t>Figure 1</w:t>
      </w:r>
      <w:r w:rsidR="003F281C">
        <w:rPr>
          <w:rFonts w:ascii="Tahoma" w:hAnsi="Tahoma" w:cs="Tahoma"/>
        </w:rPr>
        <w:t>3</w:t>
      </w:r>
      <w:r w:rsidRPr="00B25601">
        <w:rPr>
          <w:rFonts w:ascii="Tahoma" w:hAnsi="Tahoma" w:cs="Tahoma"/>
        </w:rPr>
        <w:t xml:space="preserve"> shows quarterly indexes of employment and average weekly wa</w:t>
      </w:r>
      <w:r w:rsidRPr="00B25601">
        <w:rPr>
          <w:rFonts w:ascii="Tahoma" w:hAnsi="Tahoma" w:cs="Tahoma"/>
        </w:rPr>
        <w:t>g</w:t>
      </w:r>
      <w:r w:rsidRPr="00B25601">
        <w:rPr>
          <w:rFonts w:ascii="Tahoma" w:hAnsi="Tahoma" w:cs="Tahoma"/>
        </w:rPr>
        <w:lastRenderedPageBreak/>
        <w:t>es received by employees of establis</w:t>
      </w:r>
      <w:r w:rsidRPr="00B25601">
        <w:rPr>
          <w:rFonts w:ascii="Tahoma" w:hAnsi="Tahoma" w:cs="Tahoma"/>
        </w:rPr>
        <w:t>h</w:t>
      </w:r>
      <w:r w:rsidRPr="00B25601">
        <w:rPr>
          <w:rFonts w:ascii="Tahoma" w:hAnsi="Tahoma" w:cs="Tahoma"/>
        </w:rPr>
        <w:t>ments in the education industry from 1st quarter 2010 through 4th quarter 2014.  Although the annual rate of employment remained relatively stable, wage income per worker in 4th quarter 2014 averaged about 15% higher than</w:t>
      </w:r>
      <w:r w:rsidR="00900315">
        <w:rPr>
          <w:rFonts w:ascii="Tahoma" w:hAnsi="Tahoma" w:cs="Tahoma"/>
        </w:rPr>
        <w:t xml:space="preserve"> during</w:t>
      </w:r>
      <w:r w:rsidRPr="00B25601">
        <w:rPr>
          <w:rFonts w:ascii="Tahoma" w:hAnsi="Tahoma" w:cs="Tahoma"/>
        </w:rPr>
        <w:t xml:space="preserve"> the 1st quarter</w:t>
      </w:r>
      <w:r w:rsidR="00900315">
        <w:rPr>
          <w:rFonts w:ascii="Tahoma" w:hAnsi="Tahoma" w:cs="Tahoma"/>
        </w:rPr>
        <w:t xml:space="preserve"> of</w:t>
      </w:r>
      <w:r w:rsidRPr="00B25601">
        <w:rPr>
          <w:rFonts w:ascii="Tahoma" w:hAnsi="Tahoma" w:cs="Tahoma"/>
        </w:rPr>
        <w:t xml:space="preserve"> 2010 while the Central Texas rate of inflation increased by 8.1%, r</w:t>
      </w:r>
      <w:r w:rsidRPr="00B25601">
        <w:rPr>
          <w:rFonts w:ascii="Tahoma" w:hAnsi="Tahoma" w:cs="Tahoma"/>
        </w:rPr>
        <w:t>e</w:t>
      </w:r>
      <w:r w:rsidRPr="00B25601">
        <w:rPr>
          <w:rFonts w:ascii="Tahoma" w:hAnsi="Tahoma" w:cs="Tahoma"/>
        </w:rPr>
        <w:t>sulting in an average annual rate of i</w:t>
      </w:r>
      <w:r w:rsidRPr="00B25601">
        <w:rPr>
          <w:rFonts w:ascii="Tahoma" w:hAnsi="Tahoma" w:cs="Tahoma"/>
        </w:rPr>
        <w:t>n</w:t>
      </w:r>
      <w:r w:rsidRPr="00B25601">
        <w:rPr>
          <w:rFonts w:ascii="Tahoma" w:hAnsi="Tahoma" w:cs="Tahoma"/>
        </w:rPr>
        <w:t>crease in real wage income per worker of 1.4%.</w:t>
      </w:r>
      <w:r w:rsidR="00C05D8B" w:rsidRPr="00B25601">
        <w:rPr>
          <w:rFonts w:ascii="Tahoma" w:hAnsi="Tahoma" w:cs="Tahoma"/>
        </w:rPr>
        <w:t xml:space="preserve"> </w:t>
      </w:r>
    </w:p>
    <w:p w:rsidR="005456B2" w:rsidRDefault="00F518C2" w:rsidP="002D1E03">
      <w:pPr>
        <w:tabs>
          <w:tab w:val="left" w:pos="0"/>
          <w:tab w:val="left" w:pos="540"/>
        </w:tabs>
        <w:spacing w:after="0"/>
        <w:jc w:val="both"/>
        <w:rPr>
          <w:rFonts w:ascii="Tahoma" w:hAnsi="Tahoma" w:cs="Tahoma"/>
        </w:rPr>
      </w:pPr>
      <w:r>
        <w:rPr>
          <w:rFonts w:ascii="Tahoma" w:hAnsi="Tahoma" w:cs="Tahoma"/>
        </w:rPr>
        <w:tab/>
        <w:t>Baylor University is the most i</w:t>
      </w:r>
      <w:r>
        <w:rPr>
          <w:rFonts w:ascii="Tahoma" w:hAnsi="Tahoma" w:cs="Tahoma"/>
        </w:rPr>
        <w:t>m</w:t>
      </w:r>
      <w:r>
        <w:rPr>
          <w:rFonts w:ascii="Tahoma" w:hAnsi="Tahoma" w:cs="Tahoma"/>
        </w:rPr>
        <w:t xml:space="preserve">portant component </w:t>
      </w:r>
      <w:r w:rsidR="002D1E03">
        <w:rPr>
          <w:rFonts w:ascii="Tahoma" w:hAnsi="Tahoma" w:cs="Tahoma"/>
        </w:rPr>
        <w:t>affecting the</w:t>
      </w:r>
      <w:r>
        <w:rPr>
          <w:rFonts w:ascii="Tahoma" w:hAnsi="Tahoma" w:cs="Tahoma"/>
        </w:rPr>
        <w:t xml:space="preserve"> educ</w:t>
      </w:r>
      <w:r>
        <w:rPr>
          <w:rFonts w:ascii="Tahoma" w:hAnsi="Tahoma" w:cs="Tahoma"/>
        </w:rPr>
        <w:t>a</w:t>
      </w:r>
      <w:r>
        <w:rPr>
          <w:rFonts w:ascii="Tahoma" w:hAnsi="Tahoma" w:cs="Tahoma"/>
        </w:rPr>
        <w:t xml:space="preserve">tion industry’s impact on the </w:t>
      </w:r>
      <w:r w:rsidR="002D1E03">
        <w:rPr>
          <w:rFonts w:ascii="Tahoma" w:hAnsi="Tahoma" w:cs="Tahoma"/>
        </w:rPr>
        <w:t xml:space="preserve">local </w:t>
      </w:r>
      <w:r>
        <w:rPr>
          <w:rFonts w:ascii="Tahoma" w:hAnsi="Tahoma" w:cs="Tahoma"/>
        </w:rPr>
        <w:t>eco</w:t>
      </w:r>
      <w:r>
        <w:rPr>
          <w:rFonts w:ascii="Tahoma" w:hAnsi="Tahoma" w:cs="Tahoma"/>
        </w:rPr>
        <w:t>n</w:t>
      </w:r>
      <w:r w:rsidR="00AE6580">
        <w:rPr>
          <w:rFonts w:ascii="Tahoma" w:hAnsi="Tahoma" w:cs="Tahoma"/>
        </w:rPr>
        <w:t xml:space="preserve">omy.  </w:t>
      </w:r>
      <w:r>
        <w:rPr>
          <w:rFonts w:ascii="Tahoma" w:hAnsi="Tahoma" w:cs="Tahoma"/>
        </w:rPr>
        <w:t>Fall</w:t>
      </w:r>
      <w:r w:rsidR="00691A62" w:rsidRPr="00B25601">
        <w:rPr>
          <w:rFonts w:ascii="Tahoma" w:hAnsi="Tahoma" w:cs="Tahoma"/>
        </w:rPr>
        <w:t xml:space="preserve"> 2014 enrollment at Baylor Un</w:t>
      </w:r>
      <w:r w:rsidR="00691A62" w:rsidRPr="00B25601">
        <w:rPr>
          <w:rFonts w:ascii="Tahoma" w:hAnsi="Tahoma" w:cs="Tahoma"/>
        </w:rPr>
        <w:t>i</w:t>
      </w:r>
      <w:r w:rsidR="00691A62" w:rsidRPr="00B25601">
        <w:rPr>
          <w:rFonts w:ascii="Tahoma" w:hAnsi="Tahoma" w:cs="Tahoma"/>
        </w:rPr>
        <w:t>versity reached 16 thousand, 6.5% hig</w:t>
      </w:r>
      <w:r w:rsidR="00691A62" w:rsidRPr="00B25601">
        <w:rPr>
          <w:rFonts w:ascii="Tahoma" w:hAnsi="Tahoma" w:cs="Tahoma"/>
        </w:rPr>
        <w:t>h</w:t>
      </w:r>
      <w:r w:rsidR="00691A62" w:rsidRPr="00B25601">
        <w:rPr>
          <w:rFonts w:ascii="Tahoma" w:hAnsi="Tahoma" w:cs="Tahoma"/>
        </w:rPr>
        <w:t xml:space="preserve">er than in </w:t>
      </w:r>
      <w:r w:rsidR="005456B2" w:rsidRPr="00B25601">
        <w:rPr>
          <w:rFonts w:ascii="Tahoma" w:hAnsi="Tahoma" w:cs="Tahoma"/>
        </w:rPr>
        <w:t>F</w:t>
      </w:r>
      <w:r w:rsidR="00691A62" w:rsidRPr="00B25601">
        <w:rPr>
          <w:rFonts w:ascii="Tahoma" w:hAnsi="Tahoma" w:cs="Tahoma"/>
        </w:rPr>
        <w:t xml:space="preserve">all 2011 creating an annual </w:t>
      </w:r>
      <w:r w:rsidR="00691A62" w:rsidRPr="00B25601">
        <w:rPr>
          <w:rFonts w:ascii="Tahoma" w:hAnsi="Tahoma" w:cs="Tahoma"/>
        </w:rPr>
        <w:lastRenderedPageBreak/>
        <w:t>economic impact of $1.</w:t>
      </w:r>
      <w:r>
        <w:rPr>
          <w:rFonts w:ascii="Tahoma" w:hAnsi="Tahoma" w:cs="Tahoma"/>
        </w:rPr>
        <w:t>9</w:t>
      </w:r>
      <w:r w:rsidR="00691A62" w:rsidRPr="00B25601">
        <w:rPr>
          <w:rFonts w:ascii="Tahoma" w:hAnsi="Tahoma" w:cs="Tahoma"/>
        </w:rPr>
        <w:t xml:space="preserve"> billion on the Central Texas econ</w:t>
      </w:r>
      <w:r>
        <w:rPr>
          <w:rFonts w:ascii="Tahoma" w:hAnsi="Tahoma" w:cs="Tahoma"/>
        </w:rPr>
        <w:t>omy that does not include construction in progress on the $100 million Paul Foster Business and Innovation building that opened in Fall 2015.</w:t>
      </w:r>
      <w:r w:rsidR="005D5652">
        <w:rPr>
          <w:rFonts w:ascii="Tahoma" w:hAnsi="Tahoma" w:cs="Tahoma"/>
        </w:rPr>
        <w:t xml:space="preserve">  The importance of Baylor</w:t>
      </w:r>
      <w:r w:rsidR="002D1E03">
        <w:rPr>
          <w:rFonts w:ascii="Tahoma" w:hAnsi="Tahoma" w:cs="Tahoma"/>
        </w:rPr>
        <w:t>’s</w:t>
      </w:r>
      <w:r w:rsidR="00D9021A">
        <w:rPr>
          <w:rFonts w:ascii="Tahoma" w:hAnsi="Tahoma" w:cs="Tahoma"/>
        </w:rPr>
        <w:t xml:space="preserve"> </w:t>
      </w:r>
      <w:r w:rsidR="002D1E03">
        <w:rPr>
          <w:rFonts w:ascii="Tahoma" w:hAnsi="Tahoma" w:cs="Tahoma"/>
        </w:rPr>
        <w:t>$2 bi</w:t>
      </w:r>
      <w:r w:rsidR="002D1E03">
        <w:rPr>
          <w:rFonts w:ascii="Tahoma" w:hAnsi="Tahoma" w:cs="Tahoma"/>
        </w:rPr>
        <w:t>l</w:t>
      </w:r>
      <w:r w:rsidR="002D1E03">
        <w:rPr>
          <w:rFonts w:ascii="Tahoma" w:hAnsi="Tahoma" w:cs="Tahoma"/>
        </w:rPr>
        <w:t xml:space="preserve">lion annual impact on </w:t>
      </w:r>
      <w:r w:rsidR="00D9021A">
        <w:rPr>
          <w:rFonts w:ascii="Tahoma" w:hAnsi="Tahoma" w:cs="Tahoma"/>
        </w:rPr>
        <w:t xml:space="preserve">local area </w:t>
      </w:r>
      <w:r w:rsidR="005D5652">
        <w:rPr>
          <w:rFonts w:ascii="Tahoma" w:hAnsi="Tahoma" w:cs="Tahoma"/>
        </w:rPr>
        <w:t>emplo</w:t>
      </w:r>
      <w:r w:rsidR="005D5652">
        <w:rPr>
          <w:rFonts w:ascii="Tahoma" w:hAnsi="Tahoma" w:cs="Tahoma"/>
        </w:rPr>
        <w:t>y</w:t>
      </w:r>
      <w:r w:rsidR="005D5652">
        <w:rPr>
          <w:rFonts w:ascii="Tahoma" w:hAnsi="Tahoma" w:cs="Tahoma"/>
        </w:rPr>
        <w:t>ment is</w:t>
      </w:r>
      <w:r w:rsidR="002D1E03">
        <w:rPr>
          <w:rFonts w:ascii="Tahoma" w:hAnsi="Tahoma" w:cs="Tahoma"/>
        </w:rPr>
        <w:t xml:space="preserve"> </w:t>
      </w:r>
      <w:r w:rsidR="00B3300A" w:rsidRPr="00B25601">
        <w:rPr>
          <w:rFonts w:ascii="Tahoma" w:hAnsi="Tahoma" w:cs="Tahoma"/>
        </w:rPr>
        <w:t xml:space="preserve">evident when examining </w:t>
      </w:r>
      <w:r w:rsidR="002D1E03">
        <w:rPr>
          <w:rFonts w:ascii="Tahoma" w:hAnsi="Tahoma" w:cs="Tahoma"/>
        </w:rPr>
        <w:t>the W</w:t>
      </w:r>
      <w:r w:rsidR="002D1E03">
        <w:rPr>
          <w:rFonts w:ascii="Tahoma" w:hAnsi="Tahoma" w:cs="Tahoma"/>
        </w:rPr>
        <w:t>a</w:t>
      </w:r>
      <w:r w:rsidR="002D1E03">
        <w:rPr>
          <w:rFonts w:ascii="Tahoma" w:hAnsi="Tahoma" w:cs="Tahoma"/>
        </w:rPr>
        <w:t>co MSA</w:t>
      </w:r>
      <w:r w:rsidR="00B3300A" w:rsidRPr="00B25601">
        <w:rPr>
          <w:rFonts w:ascii="Tahoma" w:hAnsi="Tahoma" w:cs="Tahoma"/>
        </w:rPr>
        <w:t xml:space="preserve"> location quotient </w:t>
      </w:r>
      <w:r w:rsidR="005D5652">
        <w:rPr>
          <w:rFonts w:ascii="Tahoma" w:hAnsi="Tahoma" w:cs="Tahoma"/>
        </w:rPr>
        <w:t>equal to</w:t>
      </w:r>
      <w:r w:rsidR="00B3300A" w:rsidRPr="00B25601">
        <w:rPr>
          <w:rFonts w:ascii="Tahoma" w:hAnsi="Tahoma" w:cs="Tahoma"/>
        </w:rPr>
        <w:t xml:space="preserve"> the percent of </w:t>
      </w:r>
      <w:r w:rsidR="002D1E03">
        <w:rPr>
          <w:rFonts w:ascii="Tahoma" w:hAnsi="Tahoma" w:cs="Tahoma"/>
        </w:rPr>
        <w:t>local</w:t>
      </w:r>
      <w:r w:rsidR="005D5652">
        <w:rPr>
          <w:rFonts w:ascii="Tahoma" w:hAnsi="Tahoma" w:cs="Tahoma"/>
        </w:rPr>
        <w:t xml:space="preserve"> non-public education i</w:t>
      </w:r>
      <w:r w:rsidR="005D5652">
        <w:rPr>
          <w:rFonts w:ascii="Tahoma" w:hAnsi="Tahoma" w:cs="Tahoma"/>
        </w:rPr>
        <w:t>n</w:t>
      </w:r>
      <w:r w:rsidR="005D5652">
        <w:rPr>
          <w:rFonts w:ascii="Tahoma" w:hAnsi="Tahoma" w:cs="Tahoma"/>
        </w:rPr>
        <w:t xml:space="preserve">dustry </w:t>
      </w:r>
      <w:r w:rsidR="00B3300A" w:rsidRPr="00B25601">
        <w:rPr>
          <w:rFonts w:ascii="Tahoma" w:hAnsi="Tahoma" w:cs="Tahoma"/>
        </w:rPr>
        <w:t>employment</w:t>
      </w:r>
      <w:r w:rsidR="005D5652">
        <w:rPr>
          <w:rFonts w:ascii="Tahoma" w:hAnsi="Tahoma" w:cs="Tahoma"/>
        </w:rPr>
        <w:t xml:space="preserve"> divided by the same </w:t>
      </w:r>
      <w:r w:rsidR="005D5652">
        <w:rPr>
          <w:rFonts w:ascii="Tahoma" w:hAnsi="Tahoma" w:cs="Tahoma"/>
        </w:rPr>
        <w:lastRenderedPageBreak/>
        <w:t>percentage statewide</w:t>
      </w:r>
      <w:r w:rsidR="002D1E03">
        <w:rPr>
          <w:rFonts w:ascii="Tahoma" w:hAnsi="Tahoma" w:cs="Tahoma"/>
        </w:rPr>
        <w:t xml:space="preserve">.  </w:t>
      </w:r>
      <w:r w:rsidR="003F281C">
        <w:rPr>
          <w:rFonts w:ascii="Tahoma" w:hAnsi="Tahoma" w:cs="Tahoma"/>
        </w:rPr>
        <w:t>With a</w:t>
      </w:r>
      <w:r w:rsidR="002D1E03">
        <w:rPr>
          <w:rFonts w:ascii="Tahoma" w:hAnsi="Tahoma" w:cs="Tahoma"/>
        </w:rPr>
        <w:t xml:space="preserve"> location quotient value of </w:t>
      </w:r>
      <w:r w:rsidR="005D5652">
        <w:rPr>
          <w:rFonts w:ascii="Tahoma" w:hAnsi="Tahoma" w:cs="Tahoma"/>
        </w:rPr>
        <w:t xml:space="preserve">3.0 </w:t>
      </w:r>
      <w:r w:rsidR="003F281C">
        <w:rPr>
          <w:rFonts w:ascii="Tahoma" w:hAnsi="Tahoma" w:cs="Tahoma"/>
        </w:rPr>
        <w:t>education has</w:t>
      </w:r>
      <w:r w:rsidR="00B3300A" w:rsidRPr="00B25601">
        <w:rPr>
          <w:rFonts w:ascii="Tahoma" w:hAnsi="Tahoma" w:cs="Tahoma"/>
        </w:rPr>
        <w:t xml:space="preserve"> by far the highest location quotient among industry sectors in the Waco MSA.</w:t>
      </w:r>
    </w:p>
    <w:p w:rsidR="002D1E03" w:rsidRDefault="005D5652" w:rsidP="00F518C2">
      <w:pPr>
        <w:tabs>
          <w:tab w:val="left" w:pos="0"/>
          <w:tab w:val="left" w:pos="540"/>
        </w:tabs>
        <w:spacing w:after="0"/>
        <w:jc w:val="both"/>
        <w:rPr>
          <w:rFonts w:ascii="Tahoma" w:hAnsi="Tahoma" w:cs="Tahoma"/>
        </w:rPr>
      </w:pPr>
      <w:r>
        <w:rPr>
          <w:rFonts w:ascii="Tahoma" w:hAnsi="Tahoma" w:cs="Tahoma"/>
        </w:rPr>
        <w:tab/>
        <w:t>The presence of MCC and TSTC</w:t>
      </w:r>
      <w:r w:rsidR="00D9021A">
        <w:rPr>
          <w:rFonts w:ascii="Tahoma" w:hAnsi="Tahoma" w:cs="Tahoma"/>
        </w:rPr>
        <w:t xml:space="preserve"> add</w:t>
      </w:r>
      <w:r>
        <w:rPr>
          <w:rFonts w:ascii="Tahoma" w:hAnsi="Tahoma" w:cs="Tahoma"/>
        </w:rPr>
        <w:t xml:space="preserve"> significantly to the impact of higher ed</w:t>
      </w:r>
      <w:r>
        <w:rPr>
          <w:rFonts w:ascii="Tahoma" w:hAnsi="Tahoma" w:cs="Tahoma"/>
        </w:rPr>
        <w:t>u</w:t>
      </w:r>
      <w:r>
        <w:rPr>
          <w:rFonts w:ascii="Tahoma" w:hAnsi="Tahoma" w:cs="Tahoma"/>
        </w:rPr>
        <w:t>cation on the Waco economy, enabling students to</w:t>
      </w:r>
      <w:r w:rsidR="00D9021A">
        <w:rPr>
          <w:rFonts w:ascii="Tahoma" w:hAnsi="Tahoma" w:cs="Tahoma"/>
        </w:rPr>
        <w:t xml:space="preserve"> remain in Waco to</w:t>
      </w:r>
      <w:r>
        <w:rPr>
          <w:rFonts w:ascii="Tahoma" w:hAnsi="Tahoma" w:cs="Tahoma"/>
        </w:rPr>
        <w:t xml:space="preserve"> enhance career opportunities to meet employer needs </w:t>
      </w:r>
      <w:r w:rsidR="002D1E03">
        <w:rPr>
          <w:rFonts w:ascii="Tahoma" w:hAnsi="Tahoma" w:cs="Tahoma"/>
        </w:rPr>
        <w:t>in the local economy and beyond.</w:t>
      </w:r>
    </w:p>
    <w:p w:rsidR="00D9021A" w:rsidRDefault="00D9021A" w:rsidP="00F518C2">
      <w:pPr>
        <w:tabs>
          <w:tab w:val="left" w:pos="0"/>
          <w:tab w:val="left" w:pos="540"/>
        </w:tabs>
        <w:spacing w:after="0"/>
        <w:jc w:val="both"/>
        <w:rPr>
          <w:rFonts w:ascii="Tahoma" w:hAnsi="Tahoma" w:cs="Tahoma"/>
        </w:rPr>
        <w:sectPr w:rsidR="00D9021A" w:rsidSect="00B25601">
          <w:type w:val="continuous"/>
          <w:pgSz w:w="12240" w:h="15840"/>
          <w:pgMar w:top="1440" w:right="1350" w:bottom="1440" w:left="2070" w:header="720" w:footer="720" w:gutter="0"/>
          <w:cols w:num="2" w:space="720"/>
          <w:docGrid w:linePitch="360"/>
        </w:sectPr>
      </w:pPr>
    </w:p>
    <w:p w:rsidR="005D5652" w:rsidRPr="00B25601" w:rsidRDefault="005D5652" w:rsidP="00F518C2">
      <w:pPr>
        <w:tabs>
          <w:tab w:val="left" w:pos="0"/>
          <w:tab w:val="left" w:pos="540"/>
        </w:tabs>
        <w:spacing w:after="0"/>
        <w:jc w:val="both"/>
        <w:rPr>
          <w:rFonts w:ascii="Tahoma" w:hAnsi="Tahoma" w:cs="Tahoma"/>
        </w:rPr>
      </w:pPr>
    </w:p>
    <w:p w:rsidR="00B25601" w:rsidRDefault="005456B2" w:rsidP="00A3249F">
      <w:pPr>
        <w:tabs>
          <w:tab w:val="left" w:pos="0"/>
        </w:tabs>
        <w:spacing w:after="120"/>
        <w:jc w:val="both"/>
        <w:rPr>
          <w:rFonts w:ascii="Tahoma" w:hAnsi="Tahoma" w:cs="Tahoma"/>
        </w:rPr>
        <w:sectPr w:rsidR="00B25601" w:rsidSect="00B25601">
          <w:type w:val="continuous"/>
          <w:pgSz w:w="12240" w:h="15840"/>
          <w:pgMar w:top="1440" w:right="1350" w:bottom="1440" w:left="2070" w:header="720" w:footer="720" w:gutter="0"/>
          <w:cols w:num="2" w:space="720"/>
          <w:docGrid w:linePitch="360"/>
        </w:sectPr>
      </w:pPr>
      <w:r w:rsidRPr="00B25601">
        <w:rPr>
          <w:rFonts w:ascii="Tahoma" w:hAnsi="Tahoma" w:cs="Tahoma"/>
        </w:rPr>
        <w:lastRenderedPageBreak/>
        <w:tab/>
      </w:r>
    </w:p>
    <w:p w:rsidR="009E2E7C" w:rsidRDefault="006003AE" w:rsidP="005A7FCA">
      <w:pPr>
        <w:tabs>
          <w:tab w:val="left" w:pos="0"/>
        </w:tabs>
        <w:spacing w:after="0"/>
        <w:rPr>
          <w:sz w:val="18"/>
          <w:szCs w:val="18"/>
        </w:rPr>
      </w:pPr>
      <w:r>
        <w:rPr>
          <w:noProof/>
        </w:rPr>
        <w:lastRenderedPageBreak/>
        <w:drawing>
          <wp:inline distT="0" distB="0" distL="0" distR="0" wp14:anchorId="2CAADDD9" wp14:editId="320D934B">
            <wp:extent cx="5541485" cy="2456761"/>
            <wp:effectExtent l="0" t="0" r="21590" b="2032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175F9" w:rsidRDefault="001D5A94" w:rsidP="00106EB5">
      <w:pPr>
        <w:pBdr>
          <w:bottom w:val="single" w:sz="12" w:space="3" w:color="auto"/>
        </w:pBdr>
        <w:tabs>
          <w:tab w:val="left" w:pos="0"/>
        </w:tabs>
        <w:spacing w:after="0"/>
        <w:rPr>
          <w:sz w:val="18"/>
          <w:szCs w:val="18"/>
        </w:rPr>
        <w:sectPr w:rsidR="002175F9" w:rsidSect="009961BB">
          <w:type w:val="continuous"/>
          <w:pgSz w:w="12240" w:h="15840"/>
          <w:pgMar w:top="1440" w:right="1350" w:bottom="1440" w:left="2070" w:header="720" w:footer="720" w:gutter="0"/>
          <w:cols w:space="720"/>
          <w:docGrid w:linePitch="360"/>
        </w:sectPr>
      </w:pPr>
      <w:r w:rsidRPr="005A7FCA">
        <w:rPr>
          <w:sz w:val="18"/>
          <w:szCs w:val="18"/>
        </w:rPr>
        <w:t>Source:  U.S. Bureau of Labor Statistics</w:t>
      </w:r>
    </w:p>
    <w:p w:rsidR="002175F9" w:rsidRDefault="00106EB5" w:rsidP="00170DF7">
      <w:pPr>
        <w:tabs>
          <w:tab w:val="left" w:pos="0"/>
        </w:tabs>
        <w:spacing w:before="120" w:after="120"/>
        <w:rPr>
          <w:rFonts w:ascii="Tahoma" w:hAnsi="Tahoma" w:cs="Tahoma"/>
          <w:sz w:val="28"/>
          <w:szCs w:val="28"/>
        </w:rPr>
        <w:sectPr w:rsidR="002175F9" w:rsidSect="009961BB">
          <w:type w:val="continuous"/>
          <w:pgSz w:w="12240" w:h="15840"/>
          <w:pgMar w:top="1440" w:right="1350" w:bottom="1440" w:left="2070" w:header="720" w:footer="720" w:gutter="0"/>
          <w:cols w:space="720"/>
          <w:docGrid w:linePitch="360"/>
        </w:sectPr>
      </w:pPr>
      <w:r>
        <w:rPr>
          <w:rFonts w:ascii="Tahoma" w:hAnsi="Tahoma" w:cs="Tahoma"/>
          <w:sz w:val="28"/>
          <w:szCs w:val="28"/>
        </w:rPr>
        <w:lastRenderedPageBreak/>
        <w:t>H</w:t>
      </w:r>
      <w:r w:rsidR="00AE6580">
        <w:rPr>
          <w:rFonts w:ascii="Tahoma" w:hAnsi="Tahoma" w:cs="Tahoma"/>
          <w:sz w:val="28"/>
          <w:szCs w:val="28"/>
        </w:rPr>
        <w:t>ospitality and Accommodations</w:t>
      </w:r>
    </w:p>
    <w:p w:rsidR="008463BC" w:rsidRDefault="00345B8B" w:rsidP="002175F9">
      <w:pPr>
        <w:tabs>
          <w:tab w:val="left" w:pos="540"/>
        </w:tabs>
        <w:spacing w:after="0"/>
        <w:jc w:val="both"/>
        <w:rPr>
          <w:rFonts w:ascii="Tahoma" w:hAnsi="Tahoma" w:cs="Tahoma"/>
        </w:rPr>
      </w:pPr>
      <w:r>
        <w:rPr>
          <w:rFonts w:ascii="Tahoma" w:hAnsi="Tahoma" w:cs="Tahoma"/>
        </w:rPr>
        <w:lastRenderedPageBreak/>
        <w:tab/>
      </w:r>
      <w:r w:rsidR="00E054D0" w:rsidRPr="003F281C">
        <w:rPr>
          <w:rFonts w:ascii="Tahoma" w:hAnsi="Tahoma" w:cs="Tahoma"/>
        </w:rPr>
        <w:t>Perhaps the most direct measure of</w:t>
      </w:r>
      <w:r w:rsidR="00291C3C" w:rsidRPr="003F281C">
        <w:rPr>
          <w:rFonts w:ascii="Tahoma" w:hAnsi="Tahoma" w:cs="Tahoma"/>
        </w:rPr>
        <w:t xml:space="preserve"> area </w:t>
      </w:r>
      <w:r w:rsidR="00E054D0" w:rsidRPr="003F281C">
        <w:rPr>
          <w:rFonts w:ascii="Tahoma" w:hAnsi="Tahoma" w:cs="Tahoma"/>
        </w:rPr>
        <w:t>visitor activity is the occupancy rate and percentage change in room revenue re</w:t>
      </w:r>
      <w:r w:rsidR="00291C3C" w:rsidRPr="003F281C">
        <w:rPr>
          <w:rFonts w:ascii="Tahoma" w:hAnsi="Tahoma" w:cs="Tahoma"/>
        </w:rPr>
        <w:t xml:space="preserve">ceived by </w:t>
      </w:r>
      <w:r w:rsidR="00E054D0" w:rsidRPr="003F281C">
        <w:rPr>
          <w:rFonts w:ascii="Tahoma" w:hAnsi="Tahoma" w:cs="Tahoma"/>
        </w:rPr>
        <w:t>hotels</w:t>
      </w:r>
      <w:r w:rsidR="002B56AB" w:rsidRPr="003F281C">
        <w:rPr>
          <w:rFonts w:ascii="Tahoma" w:hAnsi="Tahoma" w:cs="Tahoma"/>
        </w:rPr>
        <w:t>.  Table 5 shows the performance of 41 Waco hotels</w:t>
      </w:r>
      <w:r w:rsidR="00A129E5" w:rsidRPr="003F281C">
        <w:rPr>
          <w:rFonts w:ascii="Tahoma" w:hAnsi="Tahoma" w:cs="Tahoma"/>
        </w:rPr>
        <w:t xml:space="preserve"> in co</w:t>
      </w:r>
      <w:r w:rsidR="00A129E5" w:rsidRPr="003F281C">
        <w:rPr>
          <w:rFonts w:ascii="Tahoma" w:hAnsi="Tahoma" w:cs="Tahoma"/>
        </w:rPr>
        <w:t>m</w:t>
      </w:r>
      <w:r w:rsidR="00A129E5" w:rsidRPr="003F281C">
        <w:rPr>
          <w:rFonts w:ascii="Tahoma" w:hAnsi="Tahoma" w:cs="Tahoma"/>
        </w:rPr>
        <w:t>parison with other Texas metro areas,</w:t>
      </w:r>
      <w:r w:rsidR="002B56AB" w:rsidRPr="003F281C">
        <w:rPr>
          <w:rFonts w:ascii="Tahoma" w:hAnsi="Tahoma" w:cs="Tahoma"/>
        </w:rPr>
        <w:t xml:space="preserve"> measured by their </w:t>
      </w:r>
      <w:r w:rsidR="00A129E5" w:rsidRPr="003F281C">
        <w:rPr>
          <w:rFonts w:ascii="Tahoma" w:hAnsi="Tahoma" w:cs="Tahoma"/>
        </w:rPr>
        <w:t>2013-14 percent change in nights sold, revenue, and pe</w:t>
      </w:r>
      <w:r w:rsidR="00A129E5" w:rsidRPr="003F281C">
        <w:rPr>
          <w:rFonts w:ascii="Tahoma" w:hAnsi="Tahoma" w:cs="Tahoma"/>
        </w:rPr>
        <w:t>r</w:t>
      </w:r>
      <w:r w:rsidR="00A129E5" w:rsidRPr="003F281C">
        <w:rPr>
          <w:rFonts w:ascii="Tahoma" w:hAnsi="Tahoma" w:cs="Tahoma"/>
        </w:rPr>
        <w:t>cent occupancy that in 2014 averaged 66.4% locally.</w:t>
      </w:r>
      <w:r w:rsidR="0064202D">
        <w:rPr>
          <w:rFonts w:ascii="Tahoma" w:hAnsi="Tahoma" w:cs="Tahoma"/>
        </w:rPr>
        <w:t xml:space="preserve">  Nights sold increased 7.0% compared to Texas statewide ave</w:t>
      </w:r>
      <w:r w:rsidR="0064202D">
        <w:rPr>
          <w:rFonts w:ascii="Tahoma" w:hAnsi="Tahoma" w:cs="Tahoma"/>
        </w:rPr>
        <w:t>r</w:t>
      </w:r>
      <w:r w:rsidR="0064202D">
        <w:rPr>
          <w:rFonts w:ascii="Tahoma" w:hAnsi="Tahoma" w:cs="Tahoma"/>
        </w:rPr>
        <w:t>age of 5.1%, room revenue increased 12.2% compared to 8.6% statewide, and room revenue increased 12.2% co</w:t>
      </w:r>
      <w:r w:rsidR="0064202D">
        <w:rPr>
          <w:rFonts w:ascii="Tahoma" w:hAnsi="Tahoma" w:cs="Tahoma"/>
        </w:rPr>
        <w:t>m</w:t>
      </w:r>
      <w:r w:rsidR="0064202D">
        <w:rPr>
          <w:rFonts w:ascii="Tahoma" w:hAnsi="Tahoma" w:cs="Tahoma"/>
        </w:rPr>
        <w:lastRenderedPageBreak/>
        <w:t>pared to 4.0% statewide.  Waco’s hotel performance has attracted three new h</w:t>
      </w:r>
      <w:r w:rsidR="0064202D">
        <w:rPr>
          <w:rFonts w:ascii="Tahoma" w:hAnsi="Tahoma" w:cs="Tahoma"/>
        </w:rPr>
        <w:t>o</w:t>
      </w:r>
      <w:r w:rsidR="0064202D">
        <w:rPr>
          <w:rFonts w:ascii="Tahoma" w:hAnsi="Tahoma" w:cs="Tahoma"/>
        </w:rPr>
        <w:t>tel investments</w:t>
      </w:r>
      <w:r w:rsidR="008463BC">
        <w:rPr>
          <w:rFonts w:ascii="Tahoma" w:hAnsi="Tahoma" w:cs="Tahoma"/>
        </w:rPr>
        <w:t xml:space="preserve"> along I-35</w:t>
      </w:r>
      <w:r w:rsidR="00A766BD">
        <w:rPr>
          <w:rFonts w:ascii="Tahoma" w:hAnsi="Tahoma" w:cs="Tahoma"/>
        </w:rPr>
        <w:t xml:space="preserve"> that when </w:t>
      </w:r>
      <w:r w:rsidR="008463BC">
        <w:rPr>
          <w:rFonts w:ascii="Tahoma" w:hAnsi="Tahoma" w:cs="Tahoma"/>
        </w:rPr>
        <w:t>completed</w:t>
      </w:r>
      <w:r w:rsidR="00A766BD">
        <w:rPr>
          <w:rFonts w:ascii="Tahoma" w:hAnsi="Tahoma" w:cs="Tahoma"/>
        </w:rPr>
        <w:t xml:space="preserve"> will add about 300 rooms</w:t>
      </w:r>
      <w:r w:rsidR="0064202D">
        <w:rPr>
          <w:rFonts w:ascii="Tahoma" w:hAnsi="Tahoma" w:cs="Tahoma"/>
        </w:rPr>
        <w:t xml:space="preserve"> </w:t>
      </w:r>
      <w:r w:rsidR="00A766BD">
        <w:rPr>
          <w:rFonts w:ascii="Tahoma" w:hAnsi="Tahoma" w:cs="Tahoma"/>
        </w:rPr>
        <w:t xml:space="preserve">to further meet growing </w:t>
      </w:r>
      <w:r w:rsidR="008463BC">
        <w:rPr>
          <w:rFonts w:ascii="Tahoma" w:hAnsi="Tahoma" w:cs="Tahoma"/>
        </w:rPr>
        <w:t xml:space="preserve">visitor traffic </w:t>
      </w:r>
      <w:r w:rsidR="00A766BD">
        <w:rPr>
          <w:rFonts w:ascii="Tahoma" w:hAnsi="Tahoma" w:cs="Tahoma"/>
        </w:rPr>
        <w:t xml:space="preserve">since the opening of Baylor’s McLane Stadium for football games and other events and </w:t>
      </w:r>
      <w:r w:rsidR="008463BC">
        <w:rPr>
          <w:rFonts w:ascii="Tahoma" w:hAnsi="Tahoma" w:cs="Tahoma"/>
        </w:rPr>
        <w:t xml:space="preserve">the </w:t>
      </w:r>
      <w:r w:rsidR="00A766BD">
        <w:rPr>
          <w:rFonts w:ascii="Tahoma" w:hAnsi="Tahoma" w:cs="Tahoma"/>
        </w:rPr>
        <w:t xml:space="preserve">continued expansion of convention and business </w:t>
      </w:r>
      <w:r w:rsidR="008463BC">
        <w:rPr>
          <w:rFonts w:ascii="Tahoma" w:hAnsi="Tahoma" w:cs="Tahoma"/>
        </w:rPr>
        <w:t>visitors</w:t>
      </w:r>
      <w:r>
        <w:rPr>
          <w:rFonts w:ascii="Tahoma" w:hAnsi="Tahoma" w:cs="Tahoma"/>
        </w:rPr>
        <w:t xml:space="preserve">. </w:t>
      </w:r>
      <w:r w:rsidR="008463BC">
        <w:rPr>
          <w:rFonts w:ascii="Tahoma" w:hAnsi="Tahoma" w:cs="Tahoma"/>
        </w:rPr>
        <w:t>June 2015 hotel-motel tax</w:t>
      </w:r>
      <w:r>
        <w:rPr>
          <w:rFonts w:ascii="Tahoma" w:hAnsi="Tahoma" w:cs="Tahoma"/>
        </w:rPr>
        <w:t xml:space="preserve"> receipts</w:t>
      </w:r>
      <w:r w:rsidR="008463BC">
        <w:rPr>
          <w:rFonts w:ascii="Tahoma" w:hAnsi="Tahoma" w:cs="Tahoma"/>
        </w:rPr>
        <w:t xml:space="preserve"> in the greater Waco area were 19.3% higher than in June 2014 even before the likely sellout of McLane Stadium this </w:t>
      </w:r>
      <w:r w:rsidR="00170DF7">
        <w:rPr>
          <w:rFonts w:ascii="Tahoma" w:hAnsi="Tahoma" w:cs="Tahoma"/>
        </w:rPr>
        <w:t>football season</w:t>
      </w:r>
      <w:r w:rsidR="008463BC">
        <w:rPr>
          <w:rFonts w:ascii="Tahoma" w:hAnsi="Tahoma" w:cs="Tahoma"/>
        </w:rPr>
        <w:t>.</w:t>
      </w:r>
    </w:p>
    <w:p w:rsidR="00345B8B" w:rsidRDefault="00345B8B" w:rsidP="003F281C">
      <w:pPr>
        <w:tabs>
          <w:tab w:val="left" w:pos="540"/>
        </w:tabs>
        <w:spacing w:after="0"/>
        <w:jc w:val="both"/>
        <w:rPr>
          <w:rFonts w:ascii="Tahoma" w:hAnsi="Tahoma" w:cs="Tahoma"/>
        </w:rPr>
        <w:sectPr w:rsidR="00345B8B" w:rsidSect="008463BC">
          <w:type w:val="continuous"/>
          <w:pgSz w:w="12240" w:h="15840"/>
          <w:pgMar w:top="1440" w:right="1350" w:bottom="1440" w:left="2070" w:header="720" w:footer="720" w:gutter="0"/>
          <w:cols w:num="2" w:space="720"/>
          <w:docGrid w:linePitch="360"/>
        </w:sectPr>
      </w:pPr>
    </w:p>
    <w:p w:rsidR="008463BC" w:rsidRDefault="008463BC" w:rsidP="003F281C">
      <w:pPr>
        <w:tabs>
          <w:tab w:val="left" w:pos="540"/>
        </w:tabs>
        <w:spacing w:after="0"/>
        <w:jc w:val="both"/>
        <w:rPr>
          <w:rFonts w:ascii="Tahoma" w:hAnsi="Tahoma" w:cs="Tahoma"/>
        </w:rPr>
        <w:sectPr w:rsidR="008463BC" w:rsidSect="009961BB">
          <w:type w:val="continuous"/>
          <w:pgSz w:w="12240" w:h="15840"/>
          <w:pgMar w:top="1440" w:right="1350" w:bottom="1440" w:left="2070" w:header="720" w:footer="720" w:gutter="0"/>
          <w:cols w:space="720"/>
          <w:docGrid w:linePitch="360"/>
        </w:sectPr>
      </w:pPr>
    </w:p>
    <w:p w:rsidR="00291C3C" w:rsidRPr="00345B8B" w:rsidRDefault="00291C3C" w:rsidP="00A129E5">
      <w:pPr>
        <w:tabs>
          <w:tab w:val="left" w:pos="0"/>
        </w:tabs>
        <w:spacing w:after="0" w:line="240" w:lineRule="auto"/>
        <w:jc w:val="center"/>
        <w:rPr>
          <w:rFonts w:ascii="Tahoma" w:hAnsi="Tahoma" w:cs="Tahoma"/>
        </w:rPr>
      </w:pPr>
      <w:r w:rsidRPr="00345B8B">
        <w:rPr>
          <w:rFonts w:ascii="Tahoma" w:hAnsi="Tahoma" w:cs="Tahoma"/>
        </w:rPr>
        <w:lastRenderedPageBreak/>
        <w:t>Table 5</w:t>
      </w:r>
    </w:p>
    <w:p w:rsidR="00291C3C" w:rsidRPr="00345B8B" w:rsidRDefault="00291C3C" w:rsidP="00345B8B">
      <w:pPr>
        <w:tabs>
          <w:tab w:val="left" w:pos="0"/>
        </w:tabs>
        <w:spacing w:after="120" w:line="240" w:lineRule="auto"/>
        <w:jc w:val="center"/>
        <w:rPr>
          <w:rFonts w:ascii="Tahoma" w:hAnsi="Tahoma" w:cs="Tahoma"/>
        </w:rPr>
      </w:pPr>
      <w:r w:rsidRPr="00345B8B">
        <w:rPr>
          <w:rFonts w:ascii="Tahoma" w:hAnsi="Tahoma" w:cs="Tahoma"/>
        </w:rPr>
        <w:t>Metro Area Hotel Performance</w:t>
      </w:r>
    </w:p>
    <w:tbl>
      <w:tblPr>
        <w:tblW w:w="8835" w:type="dxa"/>
        <w:tblInd w:w="93" w:type="dxa"/>
        <w:tblLook w:val="04A0" w:firstRow="1" w:lastRow="0" w:firstColumn="1" w:lastColumn="0" w:noHBand="0" w:noVBand="1"/>
      </w:tblPr>
      <w:tblGrid>
        <w:gridCol w:w="2920"/>
        <w:gridCol w:w="1360"/>
        <w:gridCol w:w="1495"/>
        <w:gridCol w:w="1440"/>
        <w:gridCol w:w="1620"/>
      </w:tblGrid>
      <w:tr w:rsidR="00A129E5" w:rsidRPr="00345B8B" w:rsidTr="00F656F9">
        <w:trPr>
          <w:trHeight w:val="300"/>
        </w:trPr>
        <w:tc>
          <w:tcPr>
            <w:tcW w:w="2920" w:type="dxa"/>
            <w:tcBorders>
              <w:top w:val="single" w:sz="4" w:space="0" w:color="auto"/>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jc w:val="center"/>
              <w:rPr>
                <w:rFonts w:ascii="Tahoma" w:eastAsia="Times New Roman" w:hAnsi="Tahoma" w:cs="Tahoma"/>
                <w:color w:val="000000"/>
              </w:rPr>
            </w:pPr>
            <w:r w:rsidRPr="00345B8B">
              <w:rPr>
                <w:rFonts w:ascii="Tahoma" w:eastAsia="Times New Roman" w:hAnsi="Tahoma" w:cs="Tahoma"/>
                <w:color w:val="000000"/>
              </w:rPr>
              <w:t>Metro Area</w:t>
            </w:r>
          </w:p>
        </w:tc>
        <w:tc>
          <w:tcPr>
            <w:tcW w:w="1360" w:type="dxa"/>
            <w:tcBorders>
              <w:top w:val="single" w:sz="4" w:space="0" w:color="auto"/>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center"/>
              <w:rPr>
                <w:rFonts w:ascii="Tahoma" w:eastAsia="Times New Roman" w:hAnsi="Tahoma" w:cs="Tahoma"/>
                <w:color w:val="000000"/>
              </w:rPr>
            </w:pPr>
            <w:r w:rsidRPr="00345B8B">
              <w:rPr>
                <w:rFonts w:ascii="Tahoma" w:eastAsia="Times New Roman" w:hAnsi="Tahoma" w:cs="Tahoma"/>
                <w:color w:val="000000"/>
              </w:rPr>
              <w:t>Nights sold</w:t>
            </w:r>
          </w:p>
        </w:tc>
        <w:tc>
          <w:tcPr>
            <w:tcW w:w="455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 xml:space="preserve">                 2013-14 Percent Change</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jc w:val="center"/>
              <w:rPr>
                <w:rFonts w:ascii="Tahoma" w:eastAsia="Times New Roman" w:hAnsi="Tahoma" w:cs="Tahoma"/>
                <w:color w:val="000000"/>
              </w:rPr>
            </w:pPr>
            <w:r w:rsidRPr="00345B8B">
              <w:rPr>
                <w:rFonts w:ascii="Tahoma" w:eastAsia="Times New Roman" w:hAnsi="Tahoma" w:cs="Tahoma"/>
                <w:color w:val="000000"/>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A129E5" w:rsidRPr="00345B8B" w:rsidRDefault="00A129E5" w:rsidP="00A129E5">
            <w:pPr>
              <w:spacing w:after="0" w:line="240" w:lineRule="auto"/>
              <w:jc w:val="center"/>
              <w:rPr>
                <w:rFonts w:ascii="Tahoma" w:eastAsia="Times New Roman" w:hAnsi="Tahoma" w:cs="Tahoma"/>
                <w:color w:val="000000"/>
              </w:rPr>
            </w:pPr>
            <w:r w:rsidRPr="00345B8B">
              <w:rPr>
                <w:rFonts w:ascii="Tahoma" w:eastAsia="Times New Roman" w:hAnsi="Tahoma" w:cs="Tahoma"/>
                <w:color w:val="000000"/>
              </w:rPr>
              <w:t>000's</w:t>
            </w:r>
          </w:p>
        </w:tc>
        <w:tc>
          <w:tcPr>
            <w:tcW w:w="1495" w:type="dxa"/>
            <w:tcBorders>
              <w:top w:val="nil"/>
              <w:left w:val="nil"/>
              <w:bottom w:val="single" w:sz="4" w:space="0" w:color="auto"/>
              <w:right w:val="single" w:sz="4" w:space="0" w:color="auto"/>
            </w:tcBorders>
            <w:shd w:val="clear" w:color="auto" w:fill="auto"/>
            <w:noWrap/>
            <w:vAlign w:val="bottom"/>
            <w:hideMark/>
          </w:tcPr>
          <w:p w:rsidR="00A129E5" w:rsidRPr="00345B8B" w:rsidRDefault="00A129E5" w:rsidP="00A129E5">
            <w:pPr>
              <w:spacing w:after="0" w:line="240" w:lineRule="auto"/>
              <w:jc w:val="center"/>
              <w:rPr>
                <w:rFonts w:ascii="Tahoma" w:eastAsia="Times New Roman" w:hAnsi="Tahoma" w:cs="Tahoma"/>
                <w:color w:val="000000"/>
              </w:rPr>
            </w:pPr>
            <w:r w:rsidRPr="00345B8B">
              <w:rPr>
                <w:rFonts w:ascii="Tahoma" w:eastAsia="Times New Roman" w:hAnsi="Tahoma" w:cs="Tahoma"/>
                <w:color w:val="000000"/>
              </w:rPr>
              <w:t>Nights sold</w:t>
            </w:r>
          </w:p>
        </w:tc>
        <w:tc>
          <w:tcPr>
            <w:tcW w:w="1440" w:type="dxa"/>
            <w:tcBorders>
              <w:top w:val="nil"/>
              <w:left w:val="nil"/>
              <w:bottom w:val="single" w:sz="4" w:space="0" w:color="auto"/>
              <w:right w:val="single" w:sz="4" w:space="0" w:color="auto"/>
            </w:tcBorders>
            <w:shd w:val="clear" w:color="auto" w:fill="auto"/>
            <w:noWrap/>
            <w:vAlign w:val="bottom"/>
            <w:hideMark/>
          </w:tcPr>
          <w:p w:rsidR="00A129E5" w:rsidRPr="00345B8B" w:rsidRDefault="00A129E5" w:rsidP="00A129E5">
            <w:pPr>
              <w:spacing w:after="0" w:line="240" w:lineRule="auto"/>
              <w:jc w:val="center"/>
              <w:rPr>
                <w:rFonts w:ascii="Tahoma" w:eastAsia="Times New Roman" w:hAnsi="Tahoma" w:cs="Tahoma"/>
                <w:color w:val="000000"/>
              </w:rPr>
            </w:pPr>
            <w:r w:rsidRPr="00345B8B">
              <w:rPr>
                <w:rFonts w:ascii="Tahoma" w:eastAsia="Times New Roman" w:hAnsi="Tahoma" w:cs="Tahoma"/>
                <w:color w:val="000000"/>
              </w:rPr>
              <w:t>$ Revenue</w:t>
            </w:r>
          </w:p>
        </w:tc>
        <w:tc>
          <w:tcPr>
            <w:tcW w:w="1620" w:type="dxa"/>
            <w:tcBorders>
              <w:top w:val="nil"/>
              <w:left w:val="nil"/>
              <w:bottom w:val="single" w:sz="4" w:space="0" w:color="auto"/>
              <w:right w:val="single" w:sz="4" w:space="0" w:color="auto"/>
            </w:tcBorders>
            <w:shd w:val="clear" w:color="auto" w:fill="auto"/>
            <w:noWrap/>
            <w:vAlign w:val="bottom"/>
            <w:hideMark/>
          </w:tcPr>
          <w:p w:rsidR="00A129E5" w:rsidRPr="00345B8B" w:rsidRDefault="00A129E5" w:rsidP="00A129E5">
            <w:pPr>
              <w:spacing w:after="0" w:line="240" w:lineRule="auto"/>
              <w:jc w:val="center"/>
              <w:rPr>
                <w:rFonts w:ascii="Tahoma" w:eastAsia="Times New Roman" w:hAnsi="Tahoma" w:cs="Tahoma"/>
                <w:color w:val="000000"/>
              </w:rPr>
            </w:pPr>
            <w:r w:rsidRPr="00345B8B">
              <w:rPr>
                <w:rFonts w:ascii="Tahoma" w:eastAsia="Times New Roman" w:hAnsi="Tahoma" w:cs="Tahoma"/>
                <w:color w:val="000000"/>
              </w:rPr>
              <w:t>Occupancy</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Midland</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1100</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18.2</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34.6</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5.0</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Odessa</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891</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10.0</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18.6</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0.8</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San Angelo</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596</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-0.3</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-0.5</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-6.5</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College Station-Bryan</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1155</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15.2</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24.8</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11.1</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Austin-Round Rock</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8414</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3.6</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10.4</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1.8</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Houston-Baytown-Sugar Land</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20952</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5.4</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10.8</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3.2</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Dallas MD</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18023</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5.0</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8.4</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4.4</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Victoria</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613</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14.6</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17.4</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5.4</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Lubbock</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1209</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2.3</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6.9</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0.7</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Laredo</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966</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1.7</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0.6</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-0.6</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106EB5" w:rsidRDefault="00A129E5" w:rsidP="00A129E5">
            <w:pPr>
              <w:spacing w:after="0" w:line="240" w:lineRule="auto"/>
              <w:rPr>
                <w:rFonts w:ascii="Tahoma" w:eastAsia="Times New Roman" w:hAnsi="Tahoma" w:cs="Tahoma"/>
                <w:bCs/>
                <w:color w:val="000000"/>
              </w:rPr>
            </w:pPr>
            <w:r w:rsidRPr="00106EB5">
              <w:rPr>
                <w:rFonts w:ascii="Tahoma" w:eastAsia="Times New Roman" w:hAnsi="Tahoma" w:cs="Tahoma"/>
                <w:bCs/>
                <w:color w:val="000000"/>
              </w:rPr>
              <w:t>Waco</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106EB5" w:rsidRDefault="00A129E5" w:rsidP="00A129E5">
            <w:pPr>
              <w:spacing w:after="0" w:line="240" w:lineRule="auto"/>
              <w:jc w:val="right"/>
              <w:rPr>
                <w:rFonts w:ascii="Tahoma" w:eastAsia="Times New Roman" w:hAnsi="Tahoma" w:cs="Tahoma"/>
                <w:color w:val="000000"/>
              </w:rPr>
            </w:pPr>
            <w:r w:rsidRPr="00106EB5">
              <w:rPr>
                <w:rFonts w:ascii="Tahoma" w:eastAsia="Times New Roman" w:hAnsi="Tahoma" w:cs="Tahoma"/>
                <w:color w:val="000000"/>
              </w:rPr>
              <w:t>868</w:t>
            </w:r>
          </w:p>
        </w:tc>
        <w:tc>
          <w:tcPr>
            <w:tcW w:w="1495" w:type="dxa"/>
            <w:tcBorders>
              <w:top w:val="nil"/>
              <w:left w:val="nil"/>
              <w:bottom w:val="nil"/>
              <w:right w:val="single" w:sz="4" w:space="0" w:color="auto"/>
            </w:tcBorders>
            <w:shd w:val="clear" w:color="auto" w:fill="auto"/>
            <w:noWrap/>
            <w:vAlign w:val="bottom"/>
            <w:hideMark/>
          </w:tcPr>
          <w:p w:rsidR="00A129E5" w:rsidRPr="00106EB5" w:rsidRDefault="00A129E5" w:rsidP="00A129E5">
            <w:pPr>
              <w:spacing w:after="0" w:line="240" w:lineRule="auto"/>
              <w:jc w:val="right"/>
              <w:rPr>
                <w:rFonts w:ascii="Tahoma" w:eastAsia="Times New Roman" w:hAnsi="Tahoma" w:cs="Tahoma"/>
                <w:bCs/>
                <w:color w:val="000000"/>
              </w:rPr>
            </w:pPr>
            <w:r w:rsidRPr="00106EB5">
              <w:rPr>
                <w:rFonts w:ascii="Tahoma" w:eastAsia="Times New Roman" w:hAnsi="Tahoma" w:cs="Tahoma"/>
                <w:bCs/>
                <w:color w:val="000000"/>
              </w:rPr>
              <w:t>7.0</w:t>
            </w:r>
          </w:p>
        </w:tc>
        <w:tc>
          <w:tcPr>
            <w:tcW w:w="1440" w:type="dxa"/>
            <w:tcBorders>
              <w:top w:val="nil"/>
              <w:left w:val="nil"/>
              <w:bottom w:val="nil"/>
              <w:right w:val="single" w:sz="4" w:space="0" w:color="auto"/>
            </w:tcBorders>
            <w:shd w:val="clear" w:color="auto" w:fill="auto"/>
            <w:noWrap/>
            <w:vAlign w:val="bottom"/>
            <w:hideMark/>
          </w:tcPr>
          <w:p w:rsidR="00A129E5" w:rsidRPr="00106EB5" w:rsidRDefault="00A129E5" w:rsidP="00A129E5">
            <w:pPr>
              <w:spacing w:after="0" w:line="240" w:lineRule="auto"/>
              <w:jc w:val="right"/>
              <w:rPr>
                <w:rFonts w:ascii="Tahoma" w:eastAsia="Times New Roman" w:hAnsi="Tahoma" w:cs="Tahoma"/>
                <w:bCs/>
                <w:color w:val="000000"/>
              </w:rPr>
            </w:pPr>
            <w:r w:rsidRPr="00106EB5">
              <w:rPr>
                <w:rFonts w:ascii="Tahoma" w:eastAsia="Times New Roman" w:hAnsi="Tahoma" w:cs="Tahoma"/>
                <w:bCs/>
                <w:color w:val="000000"/>
              </w:rPr>
              <w:t>12.2</w:t>
            </w:r>
          </w:p>
        </w:tc>
        <w:tc>
          <w:tcPr>
            <w:tcW w:w="1620" w:type="dxa"/>
            <w:tcBorders>
              <w:top w:val="nil"/>
              <w:left w:val="nil"/>
              <w:bottom w:val="nil"/>
              <w:right w:val="single" w:sz="4" w:space="0" w:color="auto"/>
            </w:tcBorders>
            <w:shd w:val="clear" w:color="auto" w:fill="auto"/>
            <w:noWrap/>
            <w:vAlign w:val="bottom"/>
            <w:hideMark/>
          </w:tcPr>
          <w:p w:rsidR="00A129E5" w:rsidRPr="00106EB5" w:rsidRDefault="00A129E5" w:rsidP="00A129E5">
            <w:pPr>
              <w:spacing w:after="0" w:line="240" w:lineRule="auto"/>
              <w:jc w:val="right"/>
              <w:rPr>
                <w:rFonts w:ascii="Tahoma" w:eastAsia="Times New Roman" w:hAnsi="Tahoma" w:cs="Tahoma"/>
                <w:bCs/>
                <w:color w:val="000000"/>
              </w:rPr>
            </w:pPr>
            <w:r w:rsidRPr="00106EB5">
              <w:rPr>
                <w:rFonts w:ascii="Tahoma" w:eastAsia="Times New Roman" w:hAnsi="Tahoma" w:cs="Tahoma"/>
                <w:bCs/>
                <w:color w:val="000000"/>
              </w:rPr>
              <w:t>6.9</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El Paso</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2133</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3.1</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8.7</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1.2</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San Antonio</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10805</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3.7</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6.4</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2.9</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Ft. Worth-Arlington MD</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7624</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5.4</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9.0</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3.4</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Amarillo</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1358</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1.0</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3.7</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2.9</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McAllen-Edinburg-Pharr</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1512</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9.5</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15.0</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9.1</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Tyler</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275</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5.2</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7.4</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4.6</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B</w:t>
            </w:r>
            <w:r w:rsidR="00345B8B">
              <w:rPr>
                <w:rFonts w:ascii="Tahoma" w:eastAsia="Times New Roman" w:hAnsi="Tahoma" w:cs="Tahoma"/>
                <w:color w:val="000000"/>
              </w:rPr>
              <w:t>e</w:t>
            </w:r>
            <w:r w:rsidRPr="00345B8B">
              <w:rPr>
                <w:rFonts w:ascii="Tahoma" w:eastAsia="Times New Roman" w:hAnsi="Tahoma" w:cs="Tahoma"/>
                <w:color w:val="000000"/>
              </w:rPr>
              <w:t>aumont-Pt</w:t>
            </w:r>
            <w:r w:rsidR="00345B8B">
              <w:rPr>
                <w:rFonts w:ascii="Tahoma" w:eastAsia="Times New Roman" w:hAnsi="Tahoma" w:cs="Tahoma"/>
                <w:color w:val="000000"/>
              </w:rPr>
              <w:t>.</w:t>
            </w:r>
            <w:r w:rsidRPr="00345B8B">
              <w:rPr>
                <w:rFonts w:ascii="Tahoma" w:eastAsia="Times New Roman" w:hAnsi="Tahoma" w:cs="Tahoma"/>
                <w:color w:val="000000"/>
              </w:rPr>
              <w:t xml:space="preserve"> Arthur</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1314</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17.8</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21.0</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14.5</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Longview</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584</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5.0</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6.5</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4.4</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Wichita Falls</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470</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6.6</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6.1</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8.0</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Sherman-Denison</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292</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3.2</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5.6</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6.8</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Kil</w:t>
            </w:r>
            <w:r w:rsidR="00345B8B">
              <w:rPr>
                <w:rFonts w:ascii="Tahoma" w:eastAsia="Times New Roman" w:hAnsi="Tahoma" w:cs="Tahoma"/>
                <w:color w:val="000000"/>
              </w:rPr>
              <w:t>l</w:t>
            </w:r>
            <w:r w:rsidRPr="00345B8B">
              <w:rPr>
                <w:rFonts w:ascii="Tahoma" w:eastAsia="Times New Roman" w:hAnsi="Tahoma" w:cs="Tahoma"/>
                <w:color w:val="000000"/>
              </w:rPr>
              <w:t>een-Temple-Ft Hood</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1042</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8.9</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10.5</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5.0</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Abilene</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623</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7.4</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12.4</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7.5</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Corpus Christi</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2463</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0.4</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4.1</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-0.4</w:t>
            </w:r>
          </w:p>
        </w:tc>
      </w:tr>
      <w:tr w:rsidR="00A129E5" w:rsidRPr="00345B8B" w:rsidTr="00F656F9">
        <w:trPr>
          <w:trHeight w:val="300"/>
        </w:trPr>
        <w:tc>
          <w:tcPr>
            <w:tcW w:w="2920" w:type="dxa"/>
            <w:tcBorders>
              <w:top w:val="nil"/>
              <w:left w:val="single" w:sz="4" w:space="0" w:color="auto"/>
              <w:bottom w:val="nil"/>
              <w:right w:val="nil"/>
            </w:tcBorders>
            <w:shd w:val="clear" w:color="auto" w:fill="auto"/>
            <w:noWrap/>
            <w:vAlign w:val="bottom"/>
            <w:hideMark/>
          </w:tcPr>
          <w:p w:rsidR="00A129E5" w:rsidRPr="00345B8B" w:rsidRDefault="00A129E5" w:rsidP="00A129E5">
            <w:pPr>
              <w:spacing w:after="0" w:line="240" w:lineRule="auto"/>
              <w:rPr>
                <w:rFonts w:ascii="Tahoma" w:eastAsia="Times New Roman" w:hAnsi="Tahoma" w:cs="Tahoma"/>
                <w:color w:val="000000"/>
              </w:rPr>
            </w:pPr>
            <w:r w:rsidRPr="00345B8B">
              <w:rPr>
                <w:rFonts w:ascii="Tahoma" w:eastAsia="Times New Roman" w:hAnsi="Tahoma" w:cs="Tahoma"/>
                <w:color w:val="000000"/>
              </w:rPr>
              <w:t>Brownsville-Harlingen</w:t>
            </w:r>
          </w:p>
        </w:tc>
        <w:tc>
          <w:tcPr>
            <w:tcW w:w="1360" w:type="dxa"/>
            <w:tcBorders>
              <w:top w:val="nil"/>
              <w:left w:val="single" w:sz="4" w:space="0" w:color="auto"/>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1386</w:t>
            </w:r>
          </w:p>
        </w:tc>
        <w:tc>
          <w:tcPr>
            <w:tcW w:w="1495"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3.0</w:t>
            </w:r>
          </w:p>
        </w:tc>
        <w:tc>
          <w:tcPr>
            <w:tcW w:w="144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8.0</w:t>
            </w:r>
          </w:p>
        </w:tc>
        <w:tc>
          <w:tcPr>
            <w:tcW w:w="1620" w:type="dxa"/>
            <w:tcBorders>
              <w:top w:val="nil"/>
              <w:left w:val="nil"/>
              <w:bottom w:val="nil"/>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2.4</w:t>
            </w:r>
          </w:p>
        </w:tc>
      </w:tr>
      <w:tr w:rsidR="00A129E5" w:rsidRPr="00345B8B" w:rsidTr="00F656F9">
        <w:trPr>
          <w:trHeight w:val="300"/>
        </w:trPr>
        <w:tc>
          <w:tcPr>
            <w:tcW w:w="2920" w:type="dxa"/>
            <w:tcBorders>
              <w:top w:val="nil"/>
              <w:left w:val="single" w:sz="4" w:space="0" w:color="auto"/>
              <w:bottom w:val="single" w:sz="4" w:space="0" w:color="auto"/>
              <w:right w:val="nil"/>
            </w:tcBorders>
            <w:shd w:val="clear" w:color="auto" w:fill="auto"/>
            <w:noWrap/>
            <w:vAlign w:val="bottom"/>
            <w:hideMark/>
          </w:tcPr>
          <w:p w:rsidR="00A129E5" w:rsidRPr="00345B8B" w:rsidRDefault="00A129E5" w:rsidP="00345B8B">
            <w:pPr>
              <w:spacing w:after="0" w:line="240" w:lineRule="auto"/>
              <w:rPr>
                <w:rFonts w:ascii="Tahoma" w:eastAsia="Times New Roman" w:hAnsi="Tahoma" w:cs="Tahoma"/>
                <w:color w:val="000000"/>
              </w:rPr>
            </w:pPr>
            <w:r w:rsidRPr="00345B8B">
              <w:rPr>
                <w:rFonts w:ascii="Tahoma" w:eastAsia="Times New Roman" w:hAnsi="Tahoma" w:cs="Tahoma"/>
                <w:color w:val="000000"/>
              </w:rPr>
              <w:t>Texarkana (T</w:t>
            </w:r>
            <w:r w:rsidR="00345B8B">
              <w:rPr>
                <w:rFonts w:ascii="Tahoma" w:eastAsia="Times New Roman" w:hAnsi="Tahoma" w:cs="Tahoma"/>
                <w:color w:val="000000"/>
              </w:rPr>
              <w:t>X</w:t>
            </w:r>
            <w:r w:rsidRPr="00345B8B">
              <w:rPr>
                <w:rFonts w:ascii="Tahoma" w:eastAsia="Times New Roman" w:hAnsi="Tahoma" w:cs="Tahoma"/>
                <w:color w:val="000000"/>
              </w:rPr>
              <w:t>)</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275</w:t>
            </w:r>
          </w:p>
        </w:tc>
        <w:tc>
          <w:tcPr>
            <w:tcW w:w="1495" w:type="dxa"/>
            <w:tcBorders>
              <w:top w:val="nil"/>
              <w:left w:val="nil"/>
              <w:bottom w:val="single" w:sz="4" w:space="0" w:color="auto"/>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-3.8</w:t>
            </w:r>
          </w:p>
        </w:tc>
        <w:tc>
          <w:tcPr>
            <w:tcW w:w="1440" w:type="dxa"/>
            <w:tcBorders>
              <w:top w:val="nil"/>
              <w:left w:val="nil"/>
              <w:bottom w:val="single" w:sz="4" w:space="0" w:color="auto"/>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-6.5</w:t>
            </w:r>
          </w:p>
        </w:tc>
        <w:tc>
          <w:tcPr>
            <w:tcW w:w="1620" w:type="dxa"/>
            <w:tcBorders>
              <w:top w:val="nil"/>
              <w:left w:val="nil"/>
              <w:bottom w:val="single" w:sz="4" w:space="0" w:color="auto"/>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-7.0</w:t>
            </w:r>
          </w:p>
        </w:tc>
      </w:tr>
      <w:tr w:rsidR="00A129E5" w:rsidRPr="00345B8B" w:rsidTr="00F656F9">
        <w:trPr>
          <w:trHeight w:val="300"/>
        </w:trPr>
        <w:tc>
          <w:tcPr>
            <w:tcW w:w="2920" w:type="dxa"/>
            <w:tcBorders>
              <w:top w:val="nil"/>
              <w:left w:val="single" w:sz="4" w:space="0" w:color="auto"/>
              <w:bottom w:val="single" w:sz="4" w:space="0" w:color="auto"/>
              <w:right w:val="nil"/>
            </w:tcBorders>
            <w:shd w:val="clear" w:color="auto" w:fill="auto"/>
            <w:noWrap/>
            <w:vAlign w:val="bottom"/>
            <w:hideMark/>
          </w:tcPr>
          <w:p w:rsidR="00A129E5" w:rsidRPr="00345B8B" w:rsidRDefault="00A129E5" w:rsidP="00A129E5">
            <w:pPr>
              <w:spacing w:after="0" w:line="240" w:lineRule="auto"/>
              <w:jc w:val="center"/>
              <w:rPr>
                <w:rFonts w:ascii="Tahoma" w:eastAsia="Times New Roman" w:hAnsi="Tahoma" w:cs="Tahoma"/>
                <w:color w:val="000000"/>
              </w:rPr>
            </w:pPr>
            <w:r w:rsidRPr="00345B8B">
              <w:rPr>
                <w:rFonts w:ascii="Tahoma" w:eastAsia="Times New Roman" w:hAnsi="Tahoma" w:cs="Tahoma"/>
                <w:color w:val="000000"/>
              </w:rPr>
              <w:t>Texas Total</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A129E5" w:rsidRPr="00345B8B" w:rsidRDefault="00A129E5" w:rsidP="00A129E5">
            <w:pPr>
              <w:spacing w:after="0" w:line="240" w:lineRule="auto"/>
              <w:jc w:val="right"/>
              <w:rPr>
                <w:rFonts w:ascii="Tahoma" w:eastAsia="Times New Roman" w:hAnsi="Tahoma" w:cs="Tahoma"/>
                <w:color w:val="000000"/>
              </w:rPr>
            </w:pPr>
            <w:r w:rsidRPr="00345B8B">
              <w:rPr>
                <w:rFonts w:ascii="Tahoma" w:eastAsia="Times New Roman" w:hAnsi="Tahoma" w:cs="Tahoma"/>
                <w:color w:val="000000"/>
              </w:rPr>
              <w:t>25647</w:t>
            </w:r>
          </w:p>
        </w:tc>
        <w:tc>
          <w:tcPr>
            <w:tcW w:w="1495" w:type="dxa"/>
            <w:tcBorders>
              <w:top w:val="nil"/>
              <w:left w:val="nil"/>
              <w:bottom w:val="single" w:sz="4" w:space="0" w:color="auto"/>
              <w:right w:val="single" w:sz="4" w:space="0" w:color="auto"/>
            </w:tcBorders>
            <w:shd w:val="clear" w:color="auto" w:fill="auto"/>
            <w:noWrap/>
            <w:vAlign w:val="bottom"/>
            <w:hideMark/>
          </w:tcPr>
          <w:p w:rsidR="00A129E5" w:rsidRPr="00106EB5" w:rsidRDefault="00A129E5" w:rsidP="00A129E5">
            <w:pPr>
              <w:spacing w:after="0" w:line="240" w:lineRule="auto"/>
              <w:jc w:val="right"/>
              <w:rPr>
                <w:rFonts w:ascii="Tahoma" w:eastAsia="Times New Roman" w:hAnsi="Tahoma" w:cs="Tahoma"/>
                <w:bCs/>
                <w:color w:val="000000"/>
              </w:rPr>
            </w:pPr>
            <w:r w:rsidRPr="00106EB5">
              <w:rPr>
                <w:rFonts w:ascii="Tahoma" w:eastAsia="Times New Roman" w:hAnsi="Tahoma" w:cs="Tahoma"/>
                <w:bCs/>
                <w:color w:val="000000"/>
              </w:rPr>
              <w:t>5.1</w:t>
            </w:r>
          </w:p>
        </w:tc>
        <w:tc>
          <w:tcPr>
            <w:tcW w:w="1440" w:type="dxa"/>
            <w:tcBorders>
              <w:top w:val="nil"/>
              <w:left w:val="nil"/>
              <w:bottom w:val="single" w:sz="4" w:space="0" w:color="auto"/>
              <w:right w:val="single" w:sz="4" w:space="0" w:color="auto"/>
            </w:tcBorders>
            <w:shd w:val="clear" w:color="auto" w:fill="auto"/>
            <w:noWrap/>
            <w:vAlign w:val="bottom"/>
            <w:hideMark/>
          </w:tcPr>
          <w:p w:rsidR="00A129E5" w:rsidRPr="00106EB5" w:rsidRDefault="00A129E5" w:rsidP="00A129E5">
            <w:pPr>
              <w:spacing w:after="0" w:line="240" w:lineRule="auto"/>
              <w:jc w:val="right"/>
              <w:rPr>
                <w:rFonts w:ascii="Tahoma" w:eastAsia="Times New Roman" w:hAnsi="Tahoma" w:cs="Tahoma"/>
                <w:bCs/>
                <w:color w:val="000000"/>
              </w:rPr>
            </w:pPr>
            <w:r w:rsidRPr="00106EB5">
              <w:rPr>
                <w:rFonts w:ascii="Tahoma" w:eastAsia="Times New Roman" w:hAnsi="Tahoma" w:cs="Tahoma"/>
                <w:bCs/>
                <w:color w:val="000000"/>
              </w:rPr>
              <w:t>8.6</w:t>
            </w:r>
          </w:p>
        </w:tc>
        <w:tc>
          <w:tcPr>
            <w:tcW w:w="1620" w:type="dxa"/>
            <w:tcBorders>
              <w:top w:val="nil"/>
              <w:left w:val="nil"/>
              <w:bottom w:val="single" w:sz="4" w:space="0" w:color="auto"/>
              <w:right w:val="single" w:sz="4" w:space="0" w:color="auto"/>
            </w:tcBorders>
            <w:shd w:val="clear" w:color="auto" w:fill="auto"/>
            <w:noWrap/>
            <w:vAlign w:val="bottom"/>
            <w:hideMark/>
          </w:tcPr>
          <w:p w:rsidR="00A129E5" w:rsidRPr="00106EB5" w:rsidRDefault="00A129E5" w:rsidP="00A129E5">
            <w:pPr>
              <w:spacing w:after="0" w:line="240" w:lineRule="auto"/>
              <w:jc w:val="right"/>
              <w:rPr>
                <w:rFonts w:ascii="Tahoma" w:eastAsia="Times New Roman" w:hAnsi="Tahoma" w:cs="Tahoma"/>
                <w:bCs/>
                <w:color w:val="000000"/>
              </w:rPr>
            </w:pPr>
            <w:r w:rsidRPr="00106EB5">
              <w:rPr>
                <w:rFonts w:ascii="Tahoma" w:eastAsia="Times New Roman" w:hAnsi="Tahoma" w:cs="Tahoma"/>
                <w:bCs/>
                <w:color w:val="000000"/>
              </w:rPr>
              <w:t>4.0</w:t>
            </w:r>
          </w:p>
        </w:tc>
      </w:tr>
    </w:tbl>
    <w:p w:rsidR="00291C3C" w:rsidRDefault="00040E13" w:rsidP="00291C3C">
      <w:pPr>
        <w:tabs>
          <w:tab w:val="left" w:pos="0"/>
        </w:tabs>
        <w:spacing w:after="0"/>
        <w:jc w:val="both"/>
        <w:rPr>
          <w:rFonts w:ascii="Tahoma" w:hAnsi="Tahoma" w:cs="Tahoma"/>
          <w:sz w:val="18"/>
          <w:szCs w:val="18"/>
        </w:rPr>
      </w:pPr>
      <w:r w:rsidRPr="00345B8B">
        <w:rPr>
          <w:rFonts w:ascii="Tahoma" w:hAnsi="Tahoma" w:cs="Tahoma"/>
          <w:sz w:val="18"/>
          <w:szCs w:val="18"/>
        </w:rPr>
        <w:t>Source: Office of the Governor, Texas Economic Development and Tourism</w:t>
      </w:r>
    </w:p>
    <w:p w:rsidR="00345B8B" w:rsidRDefault="00345B8B" w:rsidP="00291C3C">
      <w:pPr>
        <w:tabs>
          <w:tab w:val="left" w:pos="0"/>
        </w:tabs>
        <w:spacing w:after="0"/>
        <w:jc w:val="both"/>
        <w:rPr>
          <w:rFonts w:ascii="Tahoma" w:hAnsi="Tahoma" w:cs="Tahoma"/>
          <w:sz w:val="18"/>
          <w:szCs w:val="18"/>
        </w:rPr>
        <w:sectPr w:rsidR="00345B8B" w:rsidSect="009961BB">
          <w:type w:val="continuous"/>
          <w:pgSz w:w="12240" w:h="15840"/>
          <w:pgMar w:top="1440" w:right="1350" w:bottom="1440" w:left="2070" w:header="720" w:footer="720" w:gutter="0"/>
          <w:cols w:space="720"/>
          <w:docGrid w:linePitch="360"/>
        </w:sectPr>
      </w:pPr>
    </w:p>
    <w:p w:rsidR="00345B8B" w:rsidRDefault="00345B8B" w:rsidP="00291C3C">
      <w:pPr>
        <w:tabs>
          <w:tab w:val="left" w:pos="0"/>
        </w:tabs>
        <w:spacing w:after="0"/>
        <w:jc w:val="both"/>
        <w:rPr>
          <w:rFonts w:ascii="Tahoma" w:hAnsi="Tahoma" w:cs="Tahoma"/>
          <w:sz w:val="18"/>
          <w:szCs w:val="18"/>
        </w:rPr>
      </w:pPr>
    </w:p>
    <w:p w:rsidR="00345B8B" w:rsidRDefault="00345B8B" w:rsidP="00291C3C">
      <w:pPr>
        <w:tabs>
          <w:tab w:val="left" w:pos="0"/>
        </w:tabs>
        <w:spacing w:after="0"/>
        <w:jc w:val="both"/>
        <w:rPr>
          <w:rFonts w:ascii="Tahoma" w:hAnsi="Tahoma" w:cs="Tahoma"/>
          <w:sz w:val="18"/>
          <w:szCs w:val="18"/>
        </w:rPr>
        <w:sectPr w:rsidR="00345B8B" w:rsidSect="009961BB">
          <w:type w:val="continuous"/>
          <w:pgSz w:w="12240" w:h="15840"/>
          <w:pgMar w:top="1440" w:right="1350" w:bottom="1440" w:left="2070" w:header="720" w:footer="720" w:gutter="0"/>
          <w:cols w:space="720"/>
          <w:docGrid w:linePitch="360"/>
        </w:sectPr>
      </w:pPr>
    </w:p>
    <w:p w:rsidR="00345B8B" w:rsidRPr="00AE5589" w:rsidRDefault="00345B8B" w:rsidP="00345B8B">
      <w:pPr>
        <w:tabs>
          <w:tab w:val="left" w:pos="0"/>
          <w:tab w:val="left" w:pos="540"/>
        </w:tabs>
        <w:spacing w:after="0"/>
        <w:jc w:val="both"/>
        <w:rPr>
          <w:rFonts w:ascii="Tahoma" w:hAnsi="Tahoma" w:cs="Tahoma"/>
        </w:rPr>
      </w:pPr>
      <w:r>
        <w:rPr>
          <w:rFonts w:ascii="Tahoma" w:hAnsi="Tahoma" w:cs="Tahoma"/>
        </w:rPr>
        <w:lastRenderedPageBreak/>
        <w:tab/>
      </w:r>
      <w:r w:rsidRPr="00AE5589">
        <w:rPr>
          <w:rFonts w:ascii="Tahoma" w:hAnsi="Tahoma" w:cs="Tahoma"/>
        </w:rPr>
        <w:t>Sales in the arts, entertainment, and recreation industry have benefitted from the growth in local discretionary income as well as the increase in visitor traffic.</w:t>
      </w:r>
      <w:r w:rsidRPr="00AE5589">
        <w:rPr>
          <w:rFonts w:ascii="Tahoma" w:hAnsi="Tahoma" w:cs="Tahoma"/>
        </w:rPr>
        <w:tab/>
        <w:t>Figure 14 shows Waco quarterly sales in by arts, entertainment, and re</w:t>
      </w:r>
      <w:r w:rsidRPr="00AE5589">
        <w:rPr>
          <w:rFonts w:ascii="Tahoma" w:hAnsi="Tahoma" w:cs="Tahoma"/>
        </w:rPr>
        <w:t>c</w:t>
      </w:r>
      <w:r w:rsidRPr="00AE5589">
        <w:rPr>
          <w:rFonts w:ascii="Tahoma" w:hAnsi="Tahoma" w:cs="Tahoma"/>
        </w:rPr>
        <w:t xml:space="preserve">reation establishments for the years 2012 through 2014.  Seasonal influences are </w:t>
      </w:r>
      <w:r w:rsidRPr="00AE5589">
        <w:rPr>
          <w:rFonts w:ascii="Tahoma" w:hAnsi="Tahoma" w:cs="Tahoma"/>
        </w:rPr>
        <w:lastRenderedPageBreak/>
        <w:t>more pronounced in the second and fourth quarters, but quarterly sales in each year have increased relative to the same quarter of the previous year.  Fourth quarter 2014 sales</w:t>
      </w:r>
      <w:r w:rsidR="00AE5589" w:rsidRPr="00AE5589">
        <w:rPr>
          <w:rFonts w:ascii="Tahoma" w:hAnsi="Tahoma" w:cs="Tahoma"/>
        </w:rPr>
        <w:t xml:space="preserve"> were</w:t>
      </w:r>
      <w:r w:rsidRPr="00AE5589">
        <w:rPr>
          <w:rFonts w:ascii="Tahoma" w:hAnsi="Tahoma" w:cs="Tahoma"/>
        </w:rPr>
        <w:t xml:space="preserve"> 4.9% </w:t>
      </w:r>
      <w:r w:rsidR="00AE5589" w:rsidRPr="00AE5589">
        <w:rPr>
          <w:rFonts w:ascii="Tahoma" w:hAnsi="Tahoma" w:cs="Tahoma"/>
        </w:rPr>
        <w:t xml:space="preserve">greater than during the same </w:t>
      </w:r>
      <w:r w:rsidRPr="00AE5589">
        <w:rPr>
          <w:rFonts w:ascii="Tahoma" w:hAnsi="Tahoma" w:cs="Tahoma"/>
        </w:rPr>
        <w:t>quarter in 201</w:t>
      </w:r>
      <w:r w:rsidR="00AE5589" w:rsidRPr="00AE5589">
        <w:rPr>
          <w:rFonts w:ascii="Tahoma" w:hAnsi="Tahoma" w:cs="Tahoma"/>
        </w:rPr>
        <w:t>3</w:t>
      </w:r>
      <w:r w:rsidRPr="00AE5589">
        <w:rPr>
          <w:rFonts w:ascii="Tahoma" w:hAnsi="Tahoma" w:cs="Tahoma"/>
        </w:rPr>
        <w:t xml:space="preserve">.  </w:t>
      </w:r>
      <w:r w:rsidRPr="00AE5589">
        <w:rPr>
          <w:rFonts w:ascii="Tahoma" w:hAnsi="Tahoma" w:cs="Tahoma"/>
        </w:rPr>
        <w:tab/>
      </w:r>
    </w:p>
    <w:p w:rsidR="00345B8B" w:rsidRPr="00345B8B" w:rsidRDefault="00345B8B" w:rsidP="00291C3C">
      <w:pPr>
        <w:tabs>
          <w:tab w:val="left" w:pos="0"/>
        </w:tabs>
        <w:spacing w:after="0"/>
        <w:jc w:val="both"/>
        <w:rPr>
          <w:rFonts w:ascii="Tahoma" w:hAnsi="Tahoma" w:cs="Tahoma"/>
          <w:sz w:val="18"/>
          <w:szCs w:val="18"/>
        </w:rPr>
      </w:pPr>
    </w:p>
    <w:p w:rsidR="00345B8B" w:rsidRDefault="00345B8B" w:rsidP="00FB53AB">
      <w:pPr>
        <w:tabs>
          <w:tab w:val="left" w:pos="0"/>
        </w:tabs>
        <w:spacing w:after="0"/>
        <w:jc w:val="both"/>
        <w:rPr>
          <w:sz w:val="24"/>
          <w:szCs w:val="24"/>
        </w:rPr>
        <w:sectPr w:rsidR="00345B8B" w:rsidSect="00345B8B">
          <w:type w:val="continuous"/>
          <w:pgSz w:w="12240" w:h="15840"/>
          <w:pgMar w:top="1440" w:right="1350" w:bottom="1440" w:left="2070" w:header="720" w:footer="720" w:gutter="0"/>
          <w:cols w:num="2" w:space="720"/>
          <w:docGrid w:linePitch="360"/>
        </w:sectPr>
      </w:pPr>
    </w:p>
    <w:p w:rsidR="00FB53AB" w:rsidRDefault="00FB53AB" w:rsidP="00FB53AB">
      <w:pPr>
        <w:tabs>
          <w:tab w:val="left" w:pos="0"/>
        </w:tabs>
        <w:spacing w:after="0"/>
        <w:jc w:val="both"/>
        <w:rPr>
          <w:sz w:val="24"/>
          <w:szCs w:val="24"/>
        </w:rPr>
      </w:pPr>
      <w:r>
        <w:rPr>
          <w:noProof/>
        </w:rPr>
        <w:lastRenderedPageBreak/>
        <w:drawing>
          <wp:inline distT="0" distB="0" distL="0" distR="0" wp14:anchorId="291FC3BF" wp14:editId="42A52D76">
            <wp:extent cx="5574535" cy="2831335"/>
            <wp:effectExtent l="0" t="0" r="26670" b="2667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B53AB" w:rsidRPr="00AE5589" w:rsidRDefault="00FB53AB" w:rsidP="00A4758D">
      <w:pPr>
        <w:tabs>
          <w:tab w:val="left" w:pos="0"/>
        </w:tabs>
        <w:spacing w:after="240" w:line="240" w:lineRule="auto"/>
        <w:jc w:val="both"/>
        <w:rPr>
          <w:rFonts w:ascii="Tahoma" w:hAnsi="Tahoma" w:cs="Tahoma"/>
          <w:sz w:val="18"/>
          <w:szCs w:val="18"/>
        </w:rPr>
      </w:pPr>
      <w:r w:rsidRPr="00AE5589">
        <w:rPr>
          <w:rFonts w:ascii="Tahoma" w:hAnsi="Tahoma" w:cs="Tahoma"/>
          <w:sz w:val="18"/>
          <w:szCs w:val="18"/>
        </w:rPr>
        <w:t>Source:  Texas Comptroller of Public Accounts</w:t>
      </w:r>
    </w:p>
    <w:p w:rsidR="00AE5589" w:rsidRDefault="00AE5589" w:rsidP="00751C4F">
      <w:pPr>
        <w:tabs>
          <w:tab w:val="left" w:pos="0"/>
        </w:tabs>
        <w:spacing w:after="120"/>
        <w:jc w:val="both"/>
        <w:rPr>
          <w:sz w:val="24"/>
          <w:szCs w:val="24"/>
        </w:rPr>
        <w:sectPr w:rsidR="00AE5589" w:rsidSect="009961BB">
          <w:type w:val="continuous"/>
          <w:pgSz w:w="12240" w:h="15840"/>
          <w:pgMar w:top="1440" w:right="1350" w:bottom="1440" w:left="2070" w:header="720" w:footer="720" w:gutter="0"/>
          <w:cols w:space="720"/>
          <w:docGrid w:linePitch="360"/>
        </w:sectPr>
      </w:pPr>
    </w:p>
    <w:p w:rsidR="00431CCF" w:rsidRPr="00106EB5" w:rsidRDefault="00A4758D" w:rsidP="00A4758D">
      <w:pPr>
        <w:tabs>
          <w:tab w:val="left" w:pos="0"/>
          <w:tab w:val="left" w:pos="540"/>
        </w:tabs>
        <w:spacing w:before="120" w:after="120"/>
        <w:jc w:val="both"/>
        <w:rPr>
          <w:rFonts w:ascii="Tahoma" w:hAnsi="Tahoma" w:cs="Tahoma"/>
        </w:rPr>
      </w:pPr>
      <w:r>
        <w:rPr>
          <w:sz w:val="24"/>
          <w:szCs w:val="24"/>
        </w:rPr>
        <w:lastRenderedPageBreak/>
        <w:tab/>
      </w:r>
      <w:r w:rsidRPr="00106EB5">
        <w:rPr>
          <w:rFonts w:ascii="Tahoma" w:hAnsi="Tahoma" w:cs="Tahoma"/>
        </w:rPr>
        <w:t>While spending by visitors on ente</w:t>
      </w:r>
      <w:r w:rsidRPr="00106EB5">
        <w:rPr>
          <w:rFonts w:ascii="Tahoma" w:hAnsi="Tahoma" w:cs="Tahoma"/>
        </w:rPr>
        <w:t>r</w:t>
      </w:r>
      <w:r w:rsidRPr="00106EB5">
        <w:rPr>
          <w:rFonts w:ascii="Tahoma" w:hAnsi="Tahoma" w:cs="Tahoma"/>
        </w:rPr>
        <w:t xml:space="preserve">tainment and recreation enhances local resident spending, it represents only a small portion of direct visitor spending.  </w:t>
      </w:r>
      <w:r w:rsidR="00AE5589" w:rsidRPr="00106EB5">
        <w:rPr>
          <w:rFonts w:ascii="Tahoma" w:hAnsi="Tahoma" w:cs="Tahoma"/>
        </w:rPr>
        <w:t>Figure 15 shows t</w:t>
      </w:r>
      <w:r w:rsidR="00751C4F" w:rsidRPr="00106EB5">
        <w:rPr>
          <w:rFonts w:ascii="Tahoma" w:hAnsi="Tahoma" w:cs="Tahoma"/>
        </w:rPr>
        <w:t>he Texas Travel R</w:t>
      </w:r>
      <w:r w:rsidR="00751C4F" w:rsidRPr="00106EB5">
        <w:rPr>
          <w:rFonts w:ascii="Tahoma" w:hAnsi="Tahoma" w:cs="Tahoma"/>
        </w:rPr>
        <w:t>e</w:t>
      </w:r>
      <w:r w:rsidR="00751C4F" w:rsidRPr="00106EB5">
        <w:rPr>
          <w:rFonts w:ascii="Tahoma" w:hAnsi="Tahoma" w:cs="Tahoma"/>
        </w:rPr>
        <w:t xml:space="preserve">search Model </w:t>
      </w:r>
      <w:r w:rsidR="00AE5589" w:rsidRPr="00106EB5">
        <w:rPr>
          <w:rFonts w:ascii="Tahoma" w:hAnsi="Tahoma" w:cs="Tahoma"/>
        </w:rPr>
        <w:t xml:space="preserve">annual </w:t>
      </w:r>
      <w:r w:rsidR="00751C4F" w:rsidRPr="00106EB5">
        <w:rPr>
          <w:rFonts w:ascii="Tahoma" w:hAnsi="Tahoma" w:cs="Tahoma"/>
        </w:rPr>
        <w:t>estimate</w:t>
      </w:r>
      <w:r w:rsidR="00AE5589" w:rsidRPr="00106EB5">
        <w:rPr>
          <w:rFonts w:ascii="Tahoma" w:hAnsi="Tahoma" w:cs="Tahoma"/>
        </w:rPr>
        <w:t>s</w:t>
      </w:r>
      <w:r w:rsidR="00751C4F" w:rsidRPr="00106EB5">
        <w:rPr>
          <w:rFonts w:ascii="Tahoma" w:hAnsi="Tahoma" w:cs="Tahoma"/>
        </w:rPr>
        <w:t xml:space="preserve"> </w:t>
      </w:r>
      <w:r w:rsidR="00AE5589" w:rsidRPr="00106EB5">
        <w:rPr>
          <w:rFonts w:ascii="Tahoma" w:hAnsi="Tahoma" w:cs="Tahoma"/>
        </w:rPr>
        <w:t xml:space="preserve">of </w:t>
      </w:r>
      <w:r w:rsidR="00751C4F" w:rsidRPr="00106EB5">
        <w:rPr>
          <w:rFonts w:ascii="Tahoma" w:hAnsi="Tahoma" w:cs="Tahoma"/>
        </w:rPr>
        <w:t xml:space="preserve">direct </w:t>
      </w:r>
      <w:r w:rsidR="00AE5589" w:rsidRPr="00106EB5">
        <w:rPr>
          <w:rFonts w:ascii="Tahoma" w:hAnsi="Tahoma" w:cs="Tahoma"/>
        </w:rPr>
        <w:t>spending by visitors to the Waco MSA</w:t>
      </w:r>
      <w:r w:rsidRPr="00106EB5">
        <w:rPr>
          <w:rFonts w:ascii="Tahoma" w:hAnsi="Tahoma" w:cs="Tahoma"/>
        </w:rPr>
        <w:t>.</w:t>
      </w:r>
      <w:r w:rsidR="00AE5589" w:rsidRPr="00106EB5">
        <w:rPr>
          <w:rFonts w:ascii="Tahoma" w:hAnsi="Tahoma" w:cs="Tahoma"/>
        </w:rPr>
        <w:t xml:space="preserve"> </w:t>
      </w:r>
      <w:r w:rsidRPr="00106EB5">
        <w:rPr>
          <w:rFonts w:ascii="Tahoma" w:hAnsi="Tahoma" w:cs="Tahoma"/>
        </w:rPr>
        <w:t xml:space="preserve"> </w:t>
      </w:r>
      <w:r w:rsidR="00AE5589" w:rsidRPr="00106EB5">
        <w:rPr>
          <w:rFonts w:ascii="Tahoma" w:hAnsi="Tahoma" w:cs="Tahoma"/>
        </w:rPr>
        <w:t xml:space="preserve">In </w:t>
      </w:r>
      <w:r w:rsidR="00751C4F" w:rsidRPr="00106EB5">
        <w:rPr>
          <w:rFonts w:ascii="Tahoma" w:hAnsi="Tahoma" w:cs="Tahoma"/>
        </w:rPr>
        <w:t xml:space="preserve">2014 spending by visitors </w:t>
      </w:r>
      <w:r w:rsidR="00AE5589" w:rsidRPr="00106EB5">
        <w:rPr>
          <w:rFonts w:ascii="Tahoma" w:hAnsi="Tahoma" w:cs="Tahoma"/>
        </w:rPr>
        <w:t>totaled</w:t>
      </w:r>
      <w:r w:rsidR="00751C4F" w:rsidRPr="00106EB5">
        <w:rPr>
          <w:rFonts w:ascii="Tahoma" w:hAnsi="Tahoma" w:cs="Tahoma"/>
        </w:rPr>
        <w:t xml:space="preserve"> </w:t>
      </w:r>
      <w:r w:rsidR="00751C4F" w:rsidRPr="00106EB5">
        <w:rPr>
          <w:rFonts w:ascii="Tahoma" w:hAnsi="Tahoma" w:cs="Tahoma"/>
        </w:rPr>
        <w:lastRenderedPageBreak/>
        <w:t>$514.4 million, representing the fifth year of steady growth following a 10.9% downturn in 2009 due to the global r</w:t>
      </w:r>
      <w:r w:rsidR="00751C4F" w:rsidRPr="00106EB5">
        <w:rPr>
          <w:rFonts w:ascii="Tahoma" w:hAnsi="Tahoma" w:cs="Tahoma"/>
        </w:rPr>
        <w:t>e</w:t>
      </w:r>
      <w:r w:rsidR="00751C4F" w:rsidRPr="00106EB5">
        <w:rPr>
          <w:rFonts w:ascii="Tahoma" w:hAnsi="Tahoma" w:cs="Tahoma"/>
        </w:rPr>
        <w:t>cession</w:t>
      </w:r>
      <w:r w:rsidRPr="00106EB5">
        <w:rPr>
          <w:rFonts w:ascii="Tahoma" w:hAnsi="Tahoma" w:cs="Tahoma"/>
        </w:rPr>
        <w:t>.  The economic impact of this direct spending is much greater due to the multiplier effect</w:t>
      </w:r>
      <w:r w:rsidR="00431CCF" w:rsidRPr="00106EB5">
        <w:rPr>
          <w:rFonts w:ascii="Tahoma" w:hAnsi="Tahoma" w:cs="Tahoma"/>
        </w:rPr>
        <w:t xml:space="preserve"> from induced and indirect local spending derived from the initial spending by visitors</w:t>
      </w:r>
      <w:r w:rsidR="00751C4F" w:rsidRPr="00106EB5">
        <w:rPr>
          <w:rFonts w:ascii="Tahoma" w:hAnsi="Tahoma" w:cs="Tahoma"/>
        </w:rPr>
        <w:t>.</w:t>
      </w:r>
    </w:p>
    <w:p w:rsidR="00431CCF" w:rsidRDefault="00431CCF" w:rsidP="00A4758D">
      <w:pPr>
        <w:tabs>
          <w:tab w:val="left" w:pos="0"/>
          <w:tab w:val="left" w:pos="540"/>
        </w:tabs>
        <w:spacing w:before="120" w:after="120"/>
        <w:jc w:val="both"/>
        <w:rPr>
          <w:sz w:val="24"/>
          <w:szCs w:val="24"/>
        </w:rPr>
        <w:sectPr w:rsidR="00431CCF" w:rsidSect="00A4758D">
          <w:type w:val="continuous"/>
          <w:pgSz w:w="12240" w:h="15840"/>
          <w:pgMar w:top="1440" w:right="1350" w:bottom="1440" w:left="2070" w:header="720" w:footer="720" w:gutter="0"/>
          <w:cols w:num="2" w:space="720"/>
          <w:docGrid w:linePitch="360"/>
        </w:sectPr>
      </w:pPr>
    </w:p>
    <w:p w:rsidR="00B44568" w:rsidRDefault="00FB53AB" w:rsidP="00431CCF">
      <w:pPr>
        <w:tabs>
          <w:tab w:val="left" w:pos="0"/>
        </w:tabs>
        <w:spacing w:before="120" w:after="0"/>
        <w:jc w:val="both"/>
        <w:rPr>
          <w:sz w:val="24"/>
          <w:szCs w:val="24"/>
        </w:rPr>
      </w:pPr>
      <w:r w:rsidRPr="00431CCF">
        <w:rPr>
          <w:sz w:val="16"/>
          <w:szCs w:val="16"/>
        </w:rPr>
        <w:lastRenderedPageBreak/>
        <w:t xml:space="preserve">  </w:t>
      </w:r>
      <w:r w:rsidR="00B44568">
        <w:rPr>
          <w:noProof/>
        </w:rPr>
        <w:drawing>
          <wp:inline distT="0" distB="0" distL="0" distR="0" wp14:anchorId="72CBB6D2" wp14:editId="0C317D78">
            <wp:extent cx="5574535" cy="2721167"/>
            <wp:effectExtent l="0" t="0" r="26670" b="222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06EB5" w:rsidRDefault="00B44568" w:rsidP="00431CCF">
      <w:pPr>
        <w:tabs>
          <w:tab w:val="left" w:pos="0"/>
        </w:tabs>
        <w:spacing w:after="0" w:line="240" w:lineRule="auto"/>
        <w:jc w:val="both"/>
        <w:rPr>
          <w:rFonts w:ascii="Tahoma" w:hAnsi="Tahoma" w:cs="Tahoma"/>
          <w:sz w:val="18"/>
          <w:szCs w:val="18"/>
        </w:rPr>
      </w:pPr>
      <w:r w:rsidRPr="00FC5441">
        <w:rPr>
          <w:rFonts w:ascii="Tahoma" w:hAnsi="Tahoma" w:cs="Tahoma"/>
          <w:sz w:val="18"/>
          <w:szCs w:val="18"/>
        </w:rPr>
        <w:t>Source: Texas Travel Research Model</w:t>
      </w:r>
    </w:p>
    <w:p w:rsidR="00106EB5" w:rsidRDefault="00106EB5" w:rsidP="00431CCF">
      <w:pPr>
        <w:tabs>
          <w:tab w:val="left" w:pos="0"/>
        </w:tabs>
        <w:spacing w:after="0" w:line="240" w:lineRule="auto"/>
        <w:jc w:val="both"/>
        <w:rPr>
          <w:rFonts w:ascii="Tahoma" w:hAnsi="Tahoma" w:cs="Tahoma"/>
          <w:sz w:val="18"/>
          <w:szCs w:val="18"/>
        </w:rPr>
        <w:sectPr w:rsidR="00106EB5" w:rsidSect="00FC5441">
          <w:type w:val="continuous"/>
          <w:pgSz w:w="12240" w:h="15840"/>
          <w:pgMar w:top="1440" w:right="1350" w:bottom="1440" w:left="2070" w:header="720" w:footer="720" w:gutter="0"/>
          <w:cols w:space="720"/>
          <w:docGrid w:linePitch="360"/>
        </w:sectPr>
      </w:pPr>
    </w:p>
    <w:p w:rsidR="00FC5441" w:rsidRPr="00FC5441" w:rsidRDefault="00FC5441" w:rsidP="00431CCF">
      <w:pPr>
        <w:tabs>
          <w:tab w:val="left" w:pos="0"/>
        </w:tabs>
        <w:spacing w:after="0" w:line="240" w:lineRule="auto"/>
        <w:jc w:val="both"/>
        <w:rPr>
          <w:rFonts w:ascii="Tahoma" w:hAnsi="Tahoma" w:cs="Tahoma"/>
          <w:sz w:val="18"/>
          <w:szCs w:val="18"/>
        </w:rPr>
      </w:pPr>
    </w:p>
    <w:p w:rsidR="00FC5441" w:rsidRDefault="00FC5441" w:rsidP="00431CCF">
      <w:pPr>
        <w:tabs>
          <w:tab w:val="left" w:pos="0"/>
        </w:tabs>
        <w:spacing w:after="0" w:line="240" w:lineRule="auto"/>
        <w:jc w:val="both"/>
        <w:rPr>
          <w:sz w:val="18"/>
          <w:szCs w:val="18"/>
        </w:rPr>
        <w:sectPr w:rsidR="00FC5441" w:rsidSect="00FC5441">
          <w:type w:val="continuous"/>
          <w:pgSz w:w="12240" w:h="15840"/>
          <w:pgMar w:top="1440" w:right="1350" w:bottom="1440" w:left="2070" w:header="720" w:footer="720" w:gutter="0"/>
          <w:cols w:space="720"/>
          <w:docGrid w:linePitch="360"/>
        </w:sectPr>
      </w:pPr>
    </w:p>
    <w:p w:rsidR="00431CCF" w:rsidRDefault="00FC5441" w:rsidP="00FC5441">
      <w:pPr>
        <w:tabs>
          <w:tab w:val="left" w:pos="0"/>
          <w:tab w:val="left" w:pos="540"/>
        </w:tabs>
        <w:spacing w:after="0"/>
        <w:jc w:val="both"/>
        <w:rPr>
          <w:rFonts w:ascii="Tahoma" w:hAnsi="Tahoma" w:cs="Tahoma"/>
        </w:rPr>
      </w:pPr>
      <w:r>
        <w:rPr>
          <w:rFonts w:ascii="Tahoma" w:hAnsi="Tahoma" w:cs="Tahoma"/>
        </w:rPr>
        <w:lastRenderedPageBreak/>
        <w:tab/>
      </w:r>
      <w:r w:rsidR="00C864FE" w:rsidRPr="00431CCF">
        <w:rPr>
          <w:rFonts w:ascii="Tahoma" w:hAnsi="Tahoma" w:cs="Tahoma"/>
        </w:rPr>
        <w:t>The success of Baylor’s athletic program and facilities, tourist attractions such as the Mammoth Site, development of regional events such as the Starburst golf tournament, the central location of the remodeled Waco convention center within walking distance of downtown Waco attractions, and the national atte</w:t>
      </w:r>
      <w:r w:rsidR="00C864FE" w:rsidRPr="00431CCF">
        <w:rPr>
          <w:rFonts w:ascii="Tahoma" w:hAnsi="Tahoma" w:cs="Tahoma"/>
        </w:rPr>
        <w:t>n</w:t>
      </w:r>
      <w:r w:rsidR="00C864FE" w:rsidRPr="00431CCF">
        <w:rPr>
          <w:rFonts w:ascii="Tahoma" w:hAnsi="Tahoma" w:cs="Tahoma"/>
        </w:rPr>
        <w:lastRenderedPageBreak/>
        <w:t>tion on Waco created by HGTV’s “Fixer Upper” show featuring Chip and Joanna Gains are a few reasons for the growth in visitor income that creates sales and e</w:t>
      </w:r>
      <w:r w:rsidR="00C864FE" w:rsidRPr="00431CCF">
        <w:rPr>
          <w:rFonts w:ascii="Tahoma" w:hAnsi="Tahoma" w:cs="Tahoma"/>
        </w:rPr>
        <w:t>m</w:t>
      </w:r>
      <w:r w:rsidR="00C864FE" w:rsidRPr="00431CCF">
        <w:rPr>
          <w:rFonts w:ascii="Tahoma" w:hAnsi="Tahoma" w:cs="Tahoma"/>
        </w:rPr>
        <w:t>ployment in arts and entertainment, food service, and accommodations that will continue to increase at a healthy pace in 2015 and 2016.</w:t>
      </w:r>
    </w:p>
    <w:p w:rsidR="00FC5441" w:rsidRDefault="00FC5441" w:rsidP="00431CCF">
      <w:pPr>
        <w:tabs>
          <w:tab w:val="left" w:pos="0"/>
          <w:tab w:val="left" w:pos="540"/>
        </w:tabs>
        <w:spacing w:before="120" w:after="0"/>
        <w:jc w:val="both"/>
        <w:rPr>
          <w:rFonts w:ascii="Tahoma" w:hAnsi="Tahoma" w:cs="Tahoma"/>
        </w:rPr>
        <w:sectPr w:rsidR="00FC5441" w:rsidSect="00431CCF">
          <w:type w:val="continuous"/>
          <w:pgSz w:w="12240" w:h="15840"/>
          <w:pgMar w:top="1440" w:right="1350" w:bottom="1440" w:left="2070" w:header="720" w:footer="720" w:gutter="0"/>
          <w:cols w:num="2" w:space="720"/>
          <w:docGrid w:linePitch="360"/>
        </w:sectPr>
      </w:pPr>
    </w:p>
    <w:p w:rsidR="00431CCF" w:rsidRDefault="00431CCF" w:rsidP="00431CCF">
      <w:pPr>
        <w:tabs>
          <w:tab w:val="left" w:pos="0"/>
          <w:tab w:val="left" w:pos="540"/>
        </w:tabs>
        <w:spacing w:before="120" w:after="0"/>
        <w:jc w:val="both"/>
        <w:rPr>
          <w:rFonts w:ascii="Tahoma" w:hAnsi="Tahoma" w:cs="Tahoma"/>
        </w:rPr>
      </w:pPr>
      <w:r>
        <w:rPr>
          <w:rFonts w:ascii="Tahoma" w:hAnsi="Tahoma" w:cs="Tahoma"/>
        </w:rPr>
        <w:lastRenderedPageBreak/>
        <w:t>_________________________________________________________________________</w:t>
      </w:r>
    </w:p>
    <w:p w:rsidR="00431CCF" w:rsidRDefault="00431CCF" w:rsidP="00C864FE">
      <w:pPr>
        <w:tabs>
          <w:tab w:val="left" w:pos="0"/>
        </w:tabs>
        <w:spacing w:before="120" w:after="0"/>
        <w:jc w:val="both"/>
        <w:rPr>
          <w:rFonts w:ascii="Tahoma" w:hAnsi="Tahoma" w:cs="Tahoma"/>
        </w:rPr>
        <w:sectPr w:rsidR="00431CCF" w:rsidSect="00431CCF">
          <w:type w:val="continuous"/>
          <w:pgSz w:w="12240" w:h="15840"/>
          <w:pgMar w:top="1440" w:right="1350" w:bottom="1440" w:left="2070" w:header="720" w:footer="720" w:gutter="0"/>
          <w:cols w:space="720"/>
          <w:docGrid w:linePitch="360"/>
        </w:sectPr>
      </w:pPr>
    </w:p>
    <w:p w:rsidR="00431CCF" w:rsidRDefault="00431CCF" w:rsidP="006D01A9">
      <w:pPr>
        <w:tabs>
          <w:tab w:val="left" w:pos="0"/>
        </w:tabs>
        <w:spacing w:before="120" w:after="120"/>
        <w:jc w:val="both"/>
        <w:rPr>
          <w:rFonts w:ascii="Tahoma" w:hAnsi="Tahoma" w:cs="Tahoma"/>
          <w:sz w:val="28"/>
          <w:szCs w:val="28"/>
        </w:rPr>
      </w:pPr>
      <w:r w:rsidRPr="00431CCF">
        <w:rPr>
          <w:rFonts w:ascii="Tahoma" w:hAnsi="Tahoma" w:cs="Tahoma"/>
          <w:sz w:val="28"/>
          <w:szCs w:val="28"/>
        </w:rPr>
        <w:lastRenderedPageBreak/>
        <w:t xml:space="preserve">Retail Sales </w:t>
      </w:r>
    </w:p>
    <w:p w:rsidR="00431CCF" w:rsidRDefault="00431CCF" w:rsidP="00431CCF">
      <w:pPr>
        <w:tabs>
          <w:tab w:val="left" w:pos="0"/>
          <w:tab w:val="left" w:pos="540"/>
        </w:tabs>
        <w:spacing w:after="120"/>
        <w:jc w:val="both"/>
        <w:rPr>
          <w:rFonts w:ascii="Tahoma" w:hAnsi="Tahoma" w:cs="Tahoma"/>
        </w:rPr>
        <w:sectPr w:rsidR="00431CCF" w:rsidSect="00431CCF">
          <w:type w:val="continuous"/>
          <w:pgSz w:w="12240" w:h="15840"/>
          <w:pgMar w:top="1440" w:right="1350" w:bottom="1440" w:left="2070" w:header="720" w:footer="720" w:gutter="0"/>
          <w:cols w:num="2" w:space="720"/>
          <w:docGrid w:linePitch="360"/>
        </w:sectPr>
      </w:pPr>
    </w:p>
    <w:p w:rsidR="00FC2857" w:rsidRDefault="00431CCF" w:rsidP="00FC2857">
      <w:pPr>
        <w:tabs>
          <w:tab w:val="left" w:pos="0"/>
          <w:tab w:val="left" w:pos="540"/>
        </w:tabs>
        <w:spacing w:after="0"/>
        <w:jc w:val="both"/>
        <w:rPr>
          <w:rFonts w:ascii="Tahoma" w:hAnsi="Tahoma" w:cs="Tahoma"/>
        </w:rPr>
      </w:pPr>
      <w:r>
        <w:rPr>
          <w:rFonts w:ascii="Tahoma" w:hAnsi="Tahoma" w:cs="Tahoma"/>
        </w:rPr>
        <w:lastRenderedPageBreak/>
        <w:tab/>
      </w:r>
      <w:r w:rsidR="00106EB5">
        <w:rPr>
          <w:rFonts w:ascii="Tahoma" w:hAnsi="Tahoma" w:cs="Tahoma"/>
        </w:rPr>
        <w:t>R</w:t>
      </w:r>
      <w:r w:rsidR="00D35429" w:rsidRPr="00FC2857">
        <w:rPr>
          <w:rFonts w:ascii="Tahoma" w:hAnsi="Tahoma" w:cs="Tahoma"/>
        </w:rPr>
        <w:t xml:space="preserve">ecent </w:t>
      </w:r>
      <w:r w:rsidR="00106EB5">
        <w:rPr>
          <w:rFonts w:ascii="Tahoma" w:hAnsi="Tahoma" w:cs="Tahoma"/>
        </w:rPr>
        <w:t xml:space="preserve">gains in </w:t>
      </w:r>
      <w:r w:rsidR="006D01A9" w:rsidRPr="00FC2857">
        <w:rPr>
          <w:rFonts w:ascii="Tahoma" w:hAnsi="Tahoma" w:cs="Tahoma"/>
        </w:rPr>
        <w:t>income</w:t>
      </w:r>
      <w:r w:rsidR="00D35429" w:rsidRPr="00FC2857">
        <w:rPr>
          <w:rFonts w:ascii="Tahoma" w:hAnsi="Tahoma" w:cs="Tahoma"/>
        </w:rPr>
        <w:t xml:space="preserve"> </w:t>
      </w:r>
      <w:r w:rsidR="00EF7CE0" w:rsidRPr="00FC2857">
        <w:rPr>
          <w:rFonts w:ascii="Tahoma" w:hAnsi="Tahoma" w:cs="Tahoma"/>
        </w:rPr>
        <w:t>and falling gasoline prices</w:t>
      </w:r>
      <w:r w:rsidR="00D35429" w:rsidRPr="00FC2857">
        <w:rPr>
          <w:rFonts w:ascii="Tahoma" w:hAnsi="Tahoma" w:cs="Tahoma"/>
        </w:rPr>
        <w:t xml:space="preserve"> </w:t>
      </w:r>
      <w:r w:rsidR="006D01A9" w:rsidRPr="00FC2857">
        <w:rPr>
          <w:rFonts w:ascii="Tahoma" w:hAnsi="Tahoma" w:cs="Tahoma"/>
        </w:rPr>
        <w:t>have increased</w:t>
      </w:r>
      <w:r w:rsidR="00D35429" w:rsidRPr="00FC2857">
        <w:rPr>
          <w:rFonts w:ascii="Tahoma" w:hAnsi="Tahoma" w:cs="Tahoma"/>
        </w:rPr>
        <w:t xml:space="preserve"> </w:t>
      </w:r>
      <w:r w:rsidR="00106EB5">
        <w:rPr>
          <w:rFonts w:ascii="Tahoma" w:hAnsi="Tahoma" w:cs="Tahoma"/>
        </w:rPr>
        <w:t xml:space="preserve">household </w:t>
      </w:r>
      <w:r w:rsidR="00D35429" w:rsidRPr="00FC2857">
        <w:rPr>
          <w:rFonts w:ascii="Tahoma" w:hAnsi="Tahoma" w:cs="Tahoma"/>
        </w:rPr>
        <w:t xml:space="preserve">disposable income </w:t>
      </w:r>
      <w:r w:rsidR="006D01A9" w:rsidRPr="00FC2857">
        <w:rPr>
          <w:rFonts w:ascii="Tahoma" w:hAnsi="Tahoma" w:cs="Tahoma"/>
        </w:rPr>
        <w:t>and</w:t>
      </w:r>
      <w:r w:rsidR="00D35429" w:rsidRPr="00FC2857">
        <w:rPr>
          <w:rFonts w:ascii="Tahoma" w:hAnsi="Tahoma" w:cs="Tahoma"/>
        </w:rPr>
        <w:t xml:space="preserve"> retail sales</w:t>
      </w:r>
      <w:r w:rsidR="00EF7CE0" w:rsidRPr="00FC2857">
        <w:rPr>
          <w:rFonts w:ascii="Tahoma" w:hAnsi="Tahoma" w:cs="Tahoma"/>
        </w:rPr>
        <w:t>.</w:t>
      </w:r>
      <w:r w:rsidR="00D35429" w:rsidRPr="00FC2857">
        <w:rPr>
          <w:rFonts w:ascii="Tahoma" w:hAnsi="Tahoma" w:cs="Tahoma"/>
        </w:rPr>
        <w:t xml:space="preserve"> The increase in </w:t>
      </w:r>
      <w:r w:rsidR="00EF7CE0" w:rsidRPr="00FC2857">
        <w:rPr>
          <w:rFonts w:ascii="Tahoma" w:hAnsi="Tahoma" w:cs="Tahoma"/>
        </w:rPr>
        <w:t>Waco</w:t>
      </w:r>
      <w:r w:rsidR="00D35429" w:rsidRPr="00FC2857">
        <w:rPr>
          <w:rFonts w:ascii="Tahoma" w:hAnsi="Tahoma" w:cs="Tahoma"/>
        </w:rPr>
        <w:t xml:space="preserve"> retail sales continues to attract </w:t>
      </w:r>
      <w:r w:rsidR="006D01A9" w:rsidRPr="00FC2857">
        <w:rPr>
          <w:rFonts w:ascii="Tahoma" w:hAnsi="Tahoma" w:cs="Tahoma"/>
        </w:rPr>
        <w:t>investors</w:t>
      </w:r>
      <w:r w:rsidR="00170DF7">
        <w:rPr>
          <w:rFonts w:ascii="Tahoma" w:hAnsi="Tahoma" w:cs="Tahoma"/>
        </w:rPr>
        <w:t>,</w:t>
      </w:r>
      <w:r w:rsidR="006D01A9" w:rsidRPr="00FC2857">
        <w:rPr>
          <w:rFonts w:ascii="Tahoma" w:hAnsi="Tahoma" w:cs="Tahoma"/>
        </w:rPr>
        <w:t xml:space="preserve"> </w:t>
      </w:r>
      <w:r w:rsidR="00FC5441" w:rsidRPr="00FC2857">
        <w:rPr>
          <w:rFonts w:ascii="Tahoma" w:hAnsi="Tahoma" w:cs="Tahoma"/>
        </w:rPr>
        <w:t>further adding to e</w:t>
      </w:r>
      <w:r w:rsidR="00FC5441" w:rsidRPr="00FC2857">
        <w:rPr>
          <w:rFonts w:ascii="Tahoma" w:hAnsi="Tahoma" w:cs="Tahoma"/>
        </w:rPr>
        <w:t>m</w:t>
      </w:r>
      <w:r w:rsidR="00FC5441" w:rsidRPr="00FC2857">
        <w:rPr>
          <w:rFonts w:ascii="Tahoma" w:hAnsi="Tahoma" w:cs="Tahoma"/>
        </w:rPr>
        <w:t>ployment and wage income.</w:t>
      </w:r>
      <w:r w:rsidR="00D35429" w:rsidRPr="00FC2857">
        <w:rPr>
          <w:rFonts w:ascii="Tahoma" w:hAnsi="Tahoma" w:cs="Tahoma"/>
        </w:rPr>
        <w:t xml:space="preserve">  </w:t>
      </w:r>
      <w:r w:rsidR="00FC5441" w:rsidRPr="00FC2857">
        <w:rPr>
          <w:rFonts w:ascii="Tahoma" w:hAnsi="Tahoma" w:cs="Tahoma"/>
        </w:rPr>
        <w:t xml:space="preserve">Figure 16 shows quarterly average employment by retail trade establishments in the Waco MSA from 1st quarter 2011 through 4th quarter 2014.  Seasonal influences result in lower </w:t>
      </w:r>
      <w:r w:rsidR="00B10B01" w:rsidRPr="00FC2857">
        <w:rPr>
          <w:rFonts w:ascii="Tahoma" w:hAnsi="Tahoma" w:cs="Tahoma"/>
        </w:rPr>
        <w:t xml:space="preserve">average </w:t>
      </w:r>
      <w:r w:rsidR="00FC5441" w:rsidRPr="00FC2857">
        <w:rPr>
          <w:rFonts w:ascii="Tahoma" w:hAnsi="Tahoma" w:cs="Tahoma"/>
        </w:rPr>
        <w:t xml:space="preserve">employment in the first quarter following </w:t>
      </w:r>
      <w:r w:rsidR="00B10B01" w:rsidRPr="00FC2857">
        <w:rPr>
          <w:rFonts w:ascii="Tahoma" w:hAnsi="Tahoma" w:cs="Tahoma"/>
        </w:rPr>
        <w:t>above average e</w:t>
      </w:r>
      <w:r w:rsidR="00B10B01" w:rsidRPr="00FC2857">
        <w:rPr>
          <w:rFonts w:ascii="Tahoma" w:hAnsi="Tahoma" w:cs="Tahoma"/>
        </w:rPr>
        <w:t>m</w:t>
      </w:r>
      <w:r w:rsidR="00B10B01" w:rsidRPr="00FC2857">
        <w:rPr>
          <w:rFonts w:ascii="Tahoma" w:hAnsi="Tahoma" w:cs="Tahoma"/>
        </w:rPr>
        <w:t>ployment in the fourth quarter</w:t>
      </w:r>
      <w:r w:rsidR="00FC2857" w:rsidRPr="00FC2857">
        <w:rPr>
          <w:rFonts w:ascii="Tahoma" w:hAnsi="Tahoma" w:cs="Tahoma"/>
        </w:rPr>
        <w:t>.</w:t>
      </w:r>
      <w:r w:rsidR="00FC2857" w:rsidRPr="00FC2857">
        <w:rPr>
          <w:rFonts w:ascii="Tahoma" w:hAnsi="Tahoma" w:cs="Tahoma"/>
          <w:sz w:val="24"/>
          <w:szCs w:val="24"/>
        </w:rPr>
        <w:t xml:space="preserve"> </w:t>
      </w:r>
      <w:r w:rsidR="00FC2857" w:rsidRPr="00FC2857">
        <w:rPr>
          <w:rFonts w:ascii="Tahoma" w:hAnsi="Tahoma" w:cs="Tahoma"/>
        </w:rPr>
        <w:t>The i</w:t>
      </w:r>
      <w:r w:rsidR="00FC2857" w:rsidRPr="00FC2857">
        <w:rPr>
          <w:rFonts w:ascii="Tahoma" w:hAnsi="Tahoma" w:cs="Tahoma"/>
        </w:rPr>
        <w:t>n</w:t>
      </w:r>
      <w:r w:rsidR="00FC2857" w:rsidRPr="00FC2857">
        <w:rPr>
          <w:rFonts w:ascii="Tahoma" w:hAnsi="Tahoma" w:cs="Tahoma"/>
        </w:rPr>
        <w:lastRenderedPageBreak/>
        <w:t>fluence</w:t>
      </w:r>
      <w:r w:rsidR="00FC2857">
        <w:rPr>
          <w:rFonts w:ascii="Tahoma" w:hAnsi="Tahoma" w:cs="Tahoma"/>
        </w:rPr>
        <w:t>s</w:t>
      </w:r>
      <w:r w:rsidR="00FC2857" w:rsidRPr="00FC2857">
        <w:rPr>
          <w:rFonts w:ascii="Tahoma" w:hAnsi="Tahoma" w:cs="Tahoma"/>
        </w:rPr>
        <w:t xml:space="preserve"> of seasonal forces in the first and fourth quarters were lower </w:t>
      </w:r>
      <w:r w:rsidR="00FC2857">
        <w:rPr>
          <w:rFonts w:ascii="Tahoma" w:hAnsi="Tahoma" w:cs="Tahoma"/>
        </w:rPr>
        <w:t>in</w:t>
      </w:r>
      <w:r w:rsidR="00FC2857" w:rsidRPr="00FC2857">
        <w:rPr>
          <w:rFonts w:ascii="Tahoma" w:hAnsi="Tahoma" w:cs="Tahoma"/>
        </w:rPr>
        <w:t xml:space="preserve"> 2014 compared with earlier years</w:t>
      </w:r>
      <w:r w:rsidR="00FC2857">
        <w:rPr>
          <w:rFonts w:ascii="Tahoma" w:hAnsi="Tahoma" w:cs="Tahoma"/>
        </w:rPr>
        <w:t>,</w:t>
      </w:r>
      <w:r w:rsidR="00FC2857" w:rsidRPr="00FC2857">
        <w:rPr>
          <w:rFonts w:ascii="Tahoma" w:hAnsi="Tahoma" w:cs="Tahoma"/>
        </w:rPr>
        <w:t xml:space="preserve"> </w:t>
      </w:r>
      <w:r w:rsidR="00FC2857">
        <w:rPr>
          <w:rFonts w:ascii="Tahoma" w:hAnsi="Tahoma" w:cs="Tahoma"/>
        </w:rPr>
        <w:t>adding to the stability of trade employment</w:t>
      </w:r>
      <w:r w:rsidR="00FC2857" w:rsidRPr="00FC2857">
        <w:rPr>
          <w:rFonts w:ascii="Tahoma" w:hAnsi="Tahoma" w:cs="Tahoma"/>
        </w:rPr>
        <w:t>.</w:t>
      </w:r>
      <w:r w:rsidR="00FC2857">
        <w:rPr>
          <w:rFonts w:ascii="Tahoma" w:hAnsi="Tahoma" w:cs="Tahoma"/>
        </w:rPr>
        <w:t xml:space="preserve"> </w:t>
      </w:r>
      <w:r w:rsidR="00FC2857" w:rsidRPr="00FC2857">
        <w:rPr>
          <w:rFonts w:ascii="Tahoma" w:hAnsi="Tahoma" w:cs="Tahoma"/>
        </w:rPr>
        <w:t xml:space="preserve"> The upward trend in </w:t>
      </w:r>
      <w:r w:rsidR="00FC2857">
        <w:rPr>
          <w:rFonts w:ascii="Tahoma" w:hAnsi="Tahoma" w:cs="Tahoma"/>
        </w:rPr>
        <w:t xml:space="preserve">retail trade </w:t>
      </w:r>
      <w:r w:rsidR="00FC2857" w:rsidRPr="00FC2857">
        <w:rPr>
          <w:rFonts w:ascii="Tahoma" w:hAnsi="Tahoma" w:cs="Tahoma"/>
        </w:rPr>
        <w:t xml:space="preserve">employment led to an average of 125 more jobs in 2014 than in 2013.  </w:t>
      </w:r>
      <w:r w:rsidR="00FC2857">
        <w:rPr>
          <w:rFonts w:ascii="Tahoma" w:hAnsi="Tahoma" w:cs="Tahoma"/>
        </w:rPr>
        <w:t xml:space="preserve"> </w:t>
      </w:r>
    </w:p>
    <w:p w:rsidR="00431CCF" w:rsidRPr="00FC2857" w:rsidRDefault="00FC2857" w:rsidP="00FC2857">
      <w:pPr>
        <w:tabs>
          <w:tab w:val="left" w:pos="0"/>
          <w:tab w:val="left" w:pos="540"/>
        </w:tabs>
        <w:spacing w:after="0"/>
        <w:jc w:val="both"/>
        <w:rPr>
          <w:rFonts w:ascii="Tahoma" w:hAnsi="Tahoma" w:cs="Tahoma"/>
        </w:rPr>
      </w:pPr>
      <w:r>
        <w:rPr>
          <w:rFonts w:ascii="Tahoma" w:hAnsi="Tahoma" w:cs="Tahoma"/>
        </w:rPr>
        <w:tab/>
      </w:r>
      <w:r w:rsidR="00106EB5">
        <w:rPr>
          <w:rFonts w:ascii="Tahoma" w:hAnsi="Tahoma" w:cs="Tahoma"/>
        </w:rPr>
        <w:t>Q</w:t>
      </w:r>
      <w:r>
        <w:rPr>
          <w:rFonts w:ascii="Tahoma" w:hAnsi="Tahoma" w:cs="Tahoma"/>
        </w:rPr>
        <w:t>uarterly indexes of</w:t>
      </w:r>
      <w:r w:rsidR="007D74CB">
        <w:rPr>
          <w:rFonts w:ascii="Tahoma" w:hAnsi="Tahoma" w:cs="Tahoma"/>
        </w:rPr>
        <w:t xml:space="preserve"> trade emplo</w:t>
      </w:r>
      <w:r w:rsidR="007D74CB">
        <w:rPr>
          <w:rFonts w:ascii="Tahoma" w:hAnsi="Tahoma" w:cs="Tahoma"/>
        </w:rPr>
        <w:t>y</w:t>
      </w:r>
      <w:r w:rsidR="007D74CB">
        <w:rPr>
          <w:rFonts w:ascii="Tahoma" w:hAnsi="Tahoma" w:cs="Tahoma"/>
        </w:rPr>
        <w:t>ment and wages</w:t>
      </w:r>
      <w:r w:rsidR="00106EB5">
        <w:rPr>
          <w:rFonts w:ascii="Tahoma" w:hAnsi="Tahoma" w:cs="Tahoma"/>
        </w:rPr>
        <w:t>, shown in figure 17,</w:t>
      </w:r>
      <w:r>
        <w:rPr>
          <w:rFonts w:ascii="Tahoma" w:hAnsi="Tahoma" w:cs="Tahoma"/>
        </w:rPr>
        <w:t xml:space="preserve"> </w:t>
      </w:r>
      <w:r w:rsidR="007D74CB">
        <w:rPr>
          <w:rFonts w:ascii="Tahoma" w:hAnsi="Tahoma" w:cs="Tahoma"/>
        </w:rPr>
        <w:t>i</w:t>
      </w:r>
      <w:r w:rsidR="007D74CB">
        <w:rPr>
          <w:rFonts w:ascii="Tahoma" w:hAnsi="Tahoma" w:cs="Tahoma"/>
        </w:rPr>
        <w:t>n</w:t>
      </w:r>
      <w:r w:rsidR="007D74CB">
        <w:rPr>
          <w:rFonts w:ascii="Tahoma" w:hAnsi="Tahoma" w:cs="Tahoma"/>
        </w:rPr>
        <w:t xml:space="preserve">dicate that in 4th quarter 2014 there were fewer part time workers resulting in weekly wages per worker that averaged 5.6% higher during 4th quarter 2013.  </w:t>
      </w:r>
    </w:p>
    <w:p w:rsidR="00431CCF" w:rsidRPr="00FC2857" w:rsidRDefault="00431CCF" w:rsidP="006D545C">
      <w:pPr>
        <w:tabs>
          <w:tab w:val="left" w:pos="0"/>
        </w:tabs>
        <w:spacing w:after="120"/>
        <w:jc w:val="both"/>
        <w:rPr>
          <w:rFonts w:ascii="Tahoma" w:hAnsi="Tahoma" w:cs="Tahoma"/>
        </w:rPr>
        <w:sectPr w:rsidR="00431CCF" w:rsidRPr="00FC2857" w:rsidSect="00431CCF">
          <w:type w:val="continuous"/>
          <w:pgSz w:w="12240" w:h="15840"/>
          <w:pgMar w:top="1440" w:right="1350" w:bottom="1440" w:left="2070" w:header="720" w:footer="720" w:gutter="0"/>
          <w:cols w:num="2" w:space="720"/>
          <w:docGrid w:linePitch="360"/>
        </w:sectPr>
      </w:pPr>
    </w:p>
    <w:p w:rsidR="00E054D0" w:rsidRDefault="00D35429" w:rsidP="006D01A9">
      <w:pPr>
        <w:tabs>
          <w:tab w:val="left" w:pos="0"/>
        </w:tabs>
        <w:spacing w:after="0"/>
        <w:jc w:val="both"/>
        <w:rPr>
          <w:sz w:val="28"/>
          <w:szCs w:val="28"/>
        </w:rPr>
      </w:pPr>
      <w:r w:rsidRPr="00431CCF">
        <w:rPr>
          <w:rFonts w:ascii="Tahoma" w:hAnsi="Tahoma" w:cs="Tahoma"/>
        </w:rPr>
        <w:lastRenderedPageBreak/>
        <w:t xml:space="preserve">  </w:t>
      </w:r>
      <w:r w:rsidR="006D545C">
        <w:rPr>
          <w:noProof/>
        </w:rPr>
        <w:drawing>
          <wp:inline distT="0" distB="0" distL="0" distR="0" wp14:anchorId="4C68306A" wp14:editId="54164393">
            <wp:extent cx="5541485" cy="2798284"/>
            <wp:effectExtent l="0" t="0" r="21590" b="2159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054D0" w:rsidRPr="006D545C" w:rsidRDefault="006D545C" w:rsidP="006D01A9">
      <w:pPr>
        <w:tabs>
          <w:tab w:val="left" w:pos="0"/>
        </w:tabs>
        <w:spacing w:after="0" w:line="240" w:lineRule="auto"/>
        <w:rPr>
          <w:sz w:val="18"/>
          <w:szCs w:val="18"/>
        </w:rPr>
      </w:pPr>
      <w:r w:rsidRPr="006D545C">
        <w:rPr>
          <w:sz w:val="18"/>
          <w:szCs w:val="18"/>
        </w:rPr>
        <w:t>Source:  U.S. Bureau of Labor Statistics</w:t>
      </w:r>
    </w:p>
    <w:p w:rsidR="00E054D0" w:rsidRPr="006D545C" w:rsidRDefault="006D545C" w:rsidP="00F656F9">
      <w:pPr>
        <w:tabs>
          <w:tab w:val="left" w:pos="0"/>
        </w:tabs>
        <w:spacing w:before="120" w:after="0"/>
        <w:jc w:val="both"/>
        <w:rPr>
          <w:sz w:val="24"/>
          <w:szCs w:val="24"/>
        </w:rPr>
      </w:pPr>
      <w:r>
        <w:rPr>
          <w:sz w:val="24"/>
          <w:szCs w:val="24"/>
        </w:rPr>
        <w:tab/>
        <w:t xml:space="preserve">  </w:t>
      </w:r>
    </w:p>
    <w:p w:rsidR="006D545C" w:rsidRDefault="006D545C" w:rsidP="005A7FCA">
      <w:pPr>
        <w:tabs>
          <w:tab w:val="left" w:pos="0"/>
        </w:tabs>
        <w:spacing w:after="0"/>
        <w:rPr>
          <w:sz w:val="18"/>
          <w:szCs w:val="18"/>
        </w:rPr>
      </w:pPr>
      <w:r>
        <w:rPr>
          <w:noProof/>
        </w:rPr>
        <w:lastRenderedPageBreak/>
        <w:drawing>
          <wp:inline distT="0" distB="0" distL="0" distR="0" wp14:anchorId="3C3C49AE" wp14:editId="6FE370C6">
            <wp:extent cx="5581650" cy="2867025"/>
            <wp:effectExtent l="0" t="0" r="19050"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054D0" w:rsidRPr="007D74CB" w:rsidRDefault="006D545C" w:rsidP="005A7FCA">
      <w:pPr>
        <w:tabs>
          <w:tab w:val="left" w:pos="0"/>
        </w:tabs>
        <w:spacing w:after="0"/>
        <w:rPr>
          <w:rFonts w:ascii="Tahoma" w:hAnsi="Tahoma" w:cs="Tahoma"/>
          <w:sz w:val="18"/>
          <w:szCs w:val="18"/>
        </w:rPr>
      </w:pPr>
      <w:r w:rsidRPr="007D74CB">
        <w:rPr>
          <w:rFonts w:ascii="Tahoma" w:hAnsi="Tahoma" w:cs="Tahoma"/>
          <w:sz w:val="18"/>
          <w:szCs w:val="18"/>
        </w:rPr>
        <w:t>Source: U.S. Bureau of Labor Statistics</w:t>
      </w:r>
    </w:p>
    <w:p w:rsidR="007D74CB" w:rsidRPr="007D74CB" w:rsidRDefault="006D545C" w:rsidP="00ED0CC7">
      <w:pPr>
        <w:tabs>
          <w:tab w:val="left" w:pos="0"/>
        </w:tabs>
        <w:spacing w:before="120" w:after="0"/>
        <w:jc w:val="both"/>
        <w:rPr>
          <w:sz w:val="16"/>
          <w:szCs w:val="16"/>
        </w:rPr>
        <w:sectPr w:rsidR="007D74CB" w:rsidRPr="007D74CB" w:rsidSect="009961BB">
          <w:type w:val="continuous"/>
          <w:pgSz w:w="12240" w:h="15840"/>
          <w:pgMar w:top="1440" w:right="1350" w:bottom="1440" w:left="2070" w:header="720" w:footer="720" w:gutter="0"/>
          <w:cols w:space="720"/>
          <w:docGrid w:linePitch="360"/>
        </w:sectPr>
      </w:pPr>
      <w:r>
        <w:rPr>
          <w:sz w:val="24"/>
          <w:szCs w:val="24"/>
        </w:rPr>
        <w:tab/>
      </w:r>
    </w:p>
    <w:p w:rsidR="007D74CB" w:rsidRDefault="007D74CB" w:rsidP="000A2BCF">
      <w:pPr>
        <w:tabs>
          <w:tab w:val="left" w:pos="0"/>
          <w:tab w:val="left" w:pos="540"/>
        </w:tabs>
        <w:spacing w:after="0"/>
        <w:jc w:val="both"/>
        <w:rPr>
          <w:rFonts w:ascii="Tahoma" w:hAnsi="Tahoma" w:cs="Tahoma"/>
        </w:rPr>
      </w:pPr>
      <w:r>
        <w:rPr>
          <w:rFonts w:ascii="Tahoma" w:hAnsi="Tahoma" w:cs="Tahoma"/>
        </w:rPr>
        <w:lastRenderedPageBreak/>
        <w:tab/>
      </w:r>
      <w:r w:rsidR="006D545C" w:rsidRPr="007D74CB">
        <w:rPr>
          <w:rFonts w:ascii="Tahoma" w:hAnsi="Tahoma" w:cs="Tahoma"/>
        </w:rPr>
        <w:t>From 4th quarter 2010 until 4th quarter 2014 Waco employment in retail trade increased 9.4% and average wage income increased 20.7% for an average annual rate of 2.4% and 4.8%, respe</w:t>
      </w:r>
      <w:r w:rsidR="006D545C" w:rsidRPr="007D74CB">
        <w:rPr>
          <w:rFonts w:ascii="Tahoma" w:hAnsi="Tahoma" w:cs="Tahoma"/>
        </w:rPr>
        <w:t>c</w:t>
      </w:r>
      <w:r w:rsidR="006D545C" w:rsidRPr="007D74CB">
        <w:rPr>
          <w:rFonts w:ascii="Tahoma" w:hAnsi="Tahoma" w:cs="Tahoma"/>
        </w:rPr>
        <w:t xml:space="preserve">tively.  The annual rate of increase in 4th </w:t>
      </w:r>
      <w:r w:rsidR="006D545C" w:rsidRPr="007D74CB">
        <w:rPr>
          <w:rFonts w:ascii="Tahoma" w:hAnsi="Tahoma" w:cs="Tahoma"/>
        </w:rPr>
        <w:lastRenderedPageBreak/>
        <w:t xml:space="preserve">quarter 2014 total wage income </w:t>
      </w:r>
      <w:r w:rsidR="00B54B98" w:rsidRPr="007D74CB">
        <w:rPr>
          <w:rFonts w:ascii="Tahoma" w:hAnsi="Tahoma" w:cs="Tahoma"/>
        </w:rPr>
        <w:t>co</w:t>
      </w:r>
      <w:r w:rsidR="00B54B98" w:rsidRPr="007D74CB">
        <w:rPr>
          <w:rFonts w:ascii="Tahoma" w:hAnsi="Tahoma" w:cs="Tahoma"/>
        </w:rPr>
        <w:t>m</w:t>
      </w:r>
      <w:r w:rsidR="00B54B98" w:rsidRPr="007D74CB">
        <w:rPr>
          <w:rFonts w:ascii="Tahoma" w:hAnsi="Tahoma" w:cs="Tahoma"/>
        </w:rPr>
        <w:t xml:space="preserve">pared with 4th quarter 2013 amounted to 4.5%.  </w:t>
      </w:r>
      <w:r w:rsidR="00095BC6">
        <w:rPr>
          <w:rFonts w:ascii="Tahoma" w:hAnsi="Tahoma" w:cs="Tahoma"/>
        </w:rPr>
        <w:t>The increase in 4th</w:t>
      </w:r>
      <w:r w:rsidR="00B54B98" w:rsidRPr="007D74CB">
        <w:rPr>
          <w:rFonts w:ascii="Tahoma" w:hAnsi="Tahoma" w:cs="Tahoma"/>
        </w:rPr>
        <w:t xml:space="preserve"> quarter</w:t>
      </w:r>
      <w:r w:rsidR="00A6182C">
        <w:rPr>
          <w:rFonts w:ascii="Tahoma" w:hAnsi="Tahoma" w:cs="Tahoma"/>
        </w:rPr>
        <w:t xml:space="preserve"> 2014</w:t>
      </w:r>
      <w:r w:rsidR="00B54B98" w:rsidRPr="007D74CB">
        <w:rPr>
          <w:rFonts w:ascii="Tahoma" w:hAnsi="Tahoma" w:cs="Tahoma"/>
        </w:rPr>
        <w:t xml:space="preserve"> </w:t>
      </w:r>
      <w:r w:rsidR="006D545C" w:rsidRPr="007D74CB">
        <w:rPr>
          <w:rFonts w:ascii="Tahoma" w:hAnsi="Tahoma" w:cs="Tahoma"/>
        </w:rPr>
        <w:t xml:space="preserve">more than offset </w:t>
      </w:r>
      <w:r w:rsidR="00A27E4A">
        <w:rPr>
          <w:rFonts w:ascii="Tahoma" w:hAnsi="Tahoma" w:cs="Tahoma"/>
        </w:rPr>
        <w:t>the rate of inflation r</w:t>
      </w:r>
      <w:r w:rsidR="00A27E4A">
        <w:rPr>
          <w:rFonts w:ascii="Tahoma" w:hAnsi="Tahoma" w:cs="Tahoma"/>
        </w:rPr>
        <w:t>e</w:t>
      </w:r>
      <w:r w:rsidR="00A27E4A">
        <w:rPr>
          <w:rFonts w:ascii="Tahoma" w:hAnsi="Tahoma" w:cs="Tahoma"/>
        </w:rPr>
        <w:t>sulting in higher average real income of 3.6%</w:t>
      </w:r>
      <w:r w:rsidR="00A6182C">
        <w:rPr>
          <w:rFonts w:ascii="Tahoma" w:hAnsi="Tahoma" w:cs="Tahoma"/>
        </w:rPr>
        <w:t xml:space="preserve">.  </w:t>
      </w:r>
      <w:r w:rsidR="00A27E4A">
        <w:rPr>
          <w:rFonts w:ascii="Tahoma" w:hAnsi="Tahoma" w:cs="Tahoma"/>
        </w:rPr>
        <w:t xml:space="preserve">    </w:t>
      </w:r>
    </w:p>
    <w:p w:rsidR="00A27E4A" w:rsidRDefault="00A27E4A" w:rsidP="007D74CB">
      <w:pPr>
        <w:tabs>
          <w:tab w:val="left" w:pos="0"/>
        </w:tabs>
        <w:spacing w:after="0"/>
        <w:jc w:val="both"/>
        <w:rPr>
          <w:rFonts w:ascii="Tahoma" w:hAnsi="Tahoma" w:cs="Tahoma"/>
        </w:rPr>
        <w:sectPr w:rsidR="00A27E4A" w:rsidSect="007D74CB">
          <w:type w:val="continuous"/>
          <w:pgSz w:w="12240" w:h="15840"/>
          <w:pgMar w:top="1440" w:right="1350" w:bottom="1440" w:left="2070" w:header="720" w:footer="720" w:gutter="0"/>
          <w:cols w:num="2" w:space="720"/>
          <w:docGrid w:linePitch="360"/>
        </w:sectPr>
      </w:pPr>
    </w:p>
    <w:p w:rsidR="00A6182C" w:rsidRDefault="00A6182C" w:rsidP="00ED0CC7">
      <w:pPr>
        <w:tabs>
          <w:tab w:val="left" w:pos="0"/>
        </w:tabs>
        <w:spacing w:before="120" w:after="120"/>
        <w:rPr>
          <w:rFonts w:ascii="Tahoma" w:hAnsi="Tahoma" w:cs="Tahoma"/>
        </w:rPr>
      </w:pPr>
      <w:r>
        <w:rPr>
          <w:rFonts w:ascii="Tahoma" w:hAnsi="Tahoma" w:cs="Tahoma"/>
        </w:rPr>
        <w:lastRenderedPageBreak/>
        <w:t>_________________________________________________________________________</w:t>
      </w:r>
    </w:p>
    <w:p w:rsidR="007D74CB" w:rsidRPr="00A6182C" w:rsidRDefault="006D545C" w:rsidP="00ED0CC7">
      <w:pPr>
        <w:tabs>
          <w:tab w:val="left" w:pos="0"/>
        </w:tabs>
        <w:spacing w:before="120" w:after="120"/>
        <w:rPr>
          <w:rFonts w:ascii="Tahoma" w:hAnsi="Tahoma" w:cs="Tahoma"/>
          <w:sz w:val="28"/>
          <w:szCs w:val="28"/>
        </w:rPr>
        <w:sectPr w:rsidR="007D74CB" w:rsidRPr="00A6182C" w:rsidSect="007D74CB">
          <w:type w:val="continuous"/>
          <w:pgSz w:w="12240" w:h="15840"/>
          <w:pgMar w:top="1440" w:right="1350" w:bottom="1440" w:left="2070" w:header="720" w:footer="720" w:gutter="0"/>
          <w:cols w:space="720"/>
          <w:docGrid w:linePitch="360"/>
        </w:sectPr>
      </w:pPr>
      <w:r w:rsidRPr="00A6182C">
        <w:rPr>
          <w:rFonts w:ascii="Tahoma" w:hAnsi="Tahoma" w:cs="Tahoma"/>
          <w:sz w:val="28"/>
          <w:szCs w:val="28"/>
        </w:rPr>
        <w:t>Waco</w:t>
      </w:r>
      <w:r w:rsidR="00A6182C">
        <w:rPr>
          <w:rFonts w:ascii="Tahoma" w:hAnsi="Tahoma" w:cs="Tahoma"/>
          <w:sz w:val="28"/>
          <w:szCs w:val="28"/>
        </w:rPr>
        <w:t xml:space="preserve"> MSA </w:t>
      </w:r>
      <w:r w:rsidRPr="00A6182C">
        <w:rPr>
          <w:rFonts w:ascii="Tahoma" w:hAnsi="Tahoma" w:cs="Tahoma"/>
          <w:sz w:val="28"/>
          <w:szCs w:val="28"/>
        </w:rPr>
        <w:t>Sales Tax Receipts</w:t>
      </w:r>
    </w:p>
    <w:p w:rsidR="000A2BCF" w:rsidRDefault="007D2221" w:rsidP="00C97C91">
      <w:pPr>
        <w:tabs>
          <w:tab w:val="left" w:pos="0"/>
          <w:tab w:val="left" w:pos="540"/>
        </w:tabs>
        <w:spacing w:after="0"/>
        <w:jc w:val="both"/>
        <w:rPr>
          <w:rFonts w:ascii="Tahoma" w:hAnsi="Tahoma" w:cs="Tahoma"/>
        </w:rPr>
      </w:pPr>
      <w:r w:rsidRPr="007D74CB">
        <w:rPr>
          <w:rFonts w:ascii="Tahoma" w:hAnsi="Tahoma" w:cs="Tahoma"/>
        </w:rPr>
        <w:lastRenderedPageBreak/>
        <w:tab/>
        <w:t>Table 6 shows total 2014 sales in the Waco MSA for all and selected indu</w:t>
      </w:r>
      <w:r w:rsidRPr="007D74CB">
        <w:rPr>
          <w:rFonts w:ascii="Tahoma" w:hAnsi="Tahoma" w:cs="Tahoma"/>
        </w:rPr>
        <w:t>s</w:t>
      </w:r>
      <w:r w:rsidRPr="007D74CB">
        <w:rPr>
          <w:rFonts w:ascii="Tahoma" w:hAnsi="Tahoma" w:cs="Tahoma"/>
        </w:rPr>
        <w:t>tries that are the major sources of sales taxes received by the state and local j</w:t>
      </w:r>
      <w:r w:rsidRPr="007D74CB">
        <w:rPr>
          <w:rFonts w:ascii="Tahoma" w:hAnsi="Tahoma" w:cs="Tahoma"/>
        </w:rPr>
        <w:t>u</w:t>
      </w:r>
      <w:r w:rsidRPr="007D74CB">
        <w:rPr>
          <w:rFonts w:ascii="Tahoma" w:hAnsi="Tahoma" w:cs="Tahoma"/>
        </w:rPr>
        <w:t xml:space="preserve">risdictions.  </w:t>
      </w:r>
      <w:r w:rsidR="00083A4C" w:rsidRPr="007D74CB">
        <w:rPr>
          <w:rFonts w:ascii="Tahoma" w:hAnsi="Tahoma" w:cs="Tahoma"/>
        </w:rPr>
        <w:t>The largest contributor to sales tax receipts is retail trade, even though in 2014 it accounted for only 31.9</w:t>
      </w:r>
      <w:r w:rsidR="00D11BF2" w:rsidRPr="007D74CB">
        <w:rPr>
          <w:rFonts w:ascii="Tahoma" w:hAnsi="Tahoma" w:cs="Tahoma"/>
        </w:rPr>
        <w:t xml:space="preserve">% </w:t>
      </w:r>
      <w:r w:rsidR="00083A4C" w:rsidRPr="007D74CB">
        <w:rPr>
          <w:rFonts w:ascii="Tahoma" w:hAnsi="Tahoma" w:cs="Tahoma"/>
        </w:rPr>
        <w:t>of total industry sales.  Also, b</w:t>
      </w:r>
      <w:r w:rsidR="00083A4C" w:rsidRPr="007D74CB">
        <w:rPr>
          <w:rFonts w:ascii="Tahoma" w:hAnsi="Tahoma" w:cs="Tahoma"/>
        </w:rPr>
        <w:t>e</w:t>
      </w:r>
      <w:r w:rsidR="00083A4C" w:rsidRPr="007D74CB">
        <w:rPr>
          <w:rFonts w:ascii="Tahoma" w:hAnsi="Tahoma" w:cs="Tahoma"/>
        </w:rPr>
        <w:t>cause of local retail tax exemptions for food at home, drugs, and gasoline pu</w:t>
      </w:r>
      <w:r w:rsidR="00083A4C" w:rsidRPr="007D74CB">
        <w:rPr>
          <w:rFonts w:ascii="Tahoma" w:hAnsi="Tahoma" w:cs="Tahoma"/>
        </w:rPr>
        <w:t>r</w:t>
      </w:r>
      <w:r w:rsidR="00083A4C" w:rsidRPr="007D74CB">
        <w:rPr>
          <w:rFonts w:ascii="Tahoma" w:hAnsi="Tahoma" w:cs="Tahoma"/>
        </w:rPr>
        <w:t>chases only 38.4</w:t>
      </w:r>
      <w:r w:rsidR="00D11BF2" w:rsidRPr="007D74CB">
        <w:rPr>
          <w:rFonts w:ascii="Tahoma" w:hAnsi="Tahoma" w:cs="Tahoma"/>
        </w:rPr>
        <w:t>%</w:t>
      </w:r>
      <w:r w:rsidR="00083A4C" w:rsidRPr="007D74CB">
        <w:rPr>
          <w:rFonts w:ascii="Tahoma" w:hAnsi="Tahoma" w:cs="Tahoma"/>
        </w:rPr>
        <w:t xml:space="preserve"> of total retail trade is subject to local sales taxes.  In contrast </w:t>
      </w:r>
      <w:r w:rsidR="00170DF7">
        <w:rPr>
          <w:rFonts w:ascii="Tahoma" w:hAnsi="Tahoma" w:cs="Tahoma"/>
        </w:rPr>
        <w:t>to</w:t>
      </w:r>
      <w:r w:rsidR="00083A4C" w:rsidRPr="007D74CB">
        <w:rPr>
          <w:rFonts w:ascii="Tahoma" w:hAnsi="Tahoma" w:cs="Tahoma"/>
        </w:rPr>
        <w:t xml:space="preserve"> </w:t>
      </w:r>
      <w:r w:rsidR="00170DF7">
        <w:rPr>
          <w:rFonts w:ascii="Tahoma" w:hAnsi="Tahoma" w:cs="Tahoma"/>
        </w:rPr>
        <w:t xml:space="preserve">tax exempt </w:t>
      </w:r>
      <w:r w:rsidR="00083A4C" w:rsidRPr="007D74CB">
        <w:rPr>
          <w:rFonts w:ascii="Tahoma" w:hAnsi="Tahoma" w:cs="Tahoma"/>
        </w:rPr>
        <w:t>food at home, accomm</w:t>
      </w:r>
      <w:r w:rsidR="00083A4C" w:rsidRPr="007D74CB">
        <w:rPr>
          <w:rFonts w:ascii="Tahoma" w:hAnsi="Tahoma" w:cs="Tahoma"/>
        </w:rPr>
        <w:t>o</w:t>
      </w:r>
      <w:r w:rsidR="00083A4C" w:rsidRPr="007D74CB">
        <w:rPr>
          <w:rFonts w:ascii="Tahoma" w:hAnsi="Tahoma" w:cs="Tahoma"/>
        </w:rPr>
        <w:t>dation and food service</w:t>
      </w:r>
      <w:r w:rsidR="00D11BF2" w:rsidRPr="007D74CB">
        <w:rPr>
          <w:rFonts w:ascii="Tahoma" w:hAnsi="Tahoma" w:cs="Tahoma"/>
        </w:rPr>
        <w:t xml:space="preserve"> sales are subject to the highest percentage of</w:t>
      </w:r>
      <w:r w:rsidR="00170DF7">
        <w:rPr>
          <w:rFonts w:ascii="Tahoma" w:hAnsi="Tahoma" w:cs="Tahoma"/>
        </w:rPr>
        <w:t xml:space="preserve"> sales su</w:t>
      </w:r>
      <w:r w:rsidR="00170DF7">
        <w:rPr>
          <w:rFonts w:ascii="Tahoma" w:hAnsi="Tahoma" w:cs="Tahoma"/>
        </w:rPr>
        <w:t>b</w:t>
      </w:r>
      <w:r w:rsidR="00170DF7">
        <w:rPr>
          <w:rFonts w:ascii="Tahoma" w:hAnsi="Tahoma" w:cs="Tahoma"/>
        </w:rPr>
        <w:lastRenderedPageBreak/>
        <w:t>ject to taxes, amo</w:t>
      </w:r>
      <w:r w:rsidR="00D11BF2" w:rsidRPr="007D74CB">
        <w:rPr>
          <w:rFonts w:ascii="Tahoma" w:hAnsi="Tahoma" w:cs="Tahoma"/>
        </w:rPr>
        <w:t xml:space="preserve">unting to 87.8% in 2014. </w:t>
      </w:r>
      <w:r w:rsidR="00083A4C" w:rsidRPr="007D74CB">
        <w:rPr>
          <w:rFonts w:ascii="Tahoma" w:hAnsi="Tahoma" w:cs="Tahoma"/>
        </w:rPr>
        <w:t xml:space="preserve"> </w:t>
      </w:r>
    </w:p>
    <w:p w:rsidR="00083A4C" w:rsidRPr="007D74CB" w:rsidRDefault="000A2BCF" w:rsidP="00C97C91">
      <w:pPr>
        <w:tabs>
          <w:tab w:val="left" w:pos="0"/>
          <w:tab w:val="left" w:pos="540"/>
        </w:tabs>
        <w:spacing w:after="120"/>
        <w:jc w:val="both"/>
        <w:rPr>
          <w:rFonts w:ascii="Tahoma" w:hAnsi="Tahoma" w:cs="Tahoma"/>
        </w:rPr>
      </w:pPr>
      <w:r>
        <w:rPr>
          <w:rFonts w:ascii="Tahoma" w:hAnsi="Tahoma" w:cs="Tahoma"/>
        </w:rPr>
        <w:tab/>
      </w:r>
      <w:r w:rsidR="00C97C91">
        <w:rPr>
          <w:rFonts w:ascii="Tahoma" w:hAnsi="Tahoma" w:cs="Tahoma"/>
        </w:rPr>
        <w:t>Retail trade, accommodations</w:t>
      </w:r>
      <w:r w:rsidR="00D11BF2" w:rsidRPr="007D74CB">
        <w:rPr>
          <w:rFonts w:ascii="Tahoma" w:hAnsi="Tahoma" w:cs="Tahoma"/>
        </w:rPr>
        <w:t xml:space="preserve"> and food </w:t>
      </w:r>
      <w:r w:rsidR="00C97C91">
        <w:rPr>
          <w:rFonts w:ascii="Tahoma" w:hAnsi="Tahoma" w:cs="Tahoma"/>
        </w:rPr>
        <w:t>service</w:t>
      </w:r>
      <w:r w:rsidR="00D11BF2" w:rsidRPr="007D74CB">
        <w:rPr>
          <w:rFonts w:ascii="Tahoma" w:hAnsi="Tahoma" w:cs="Tahoma"/>
        </w:rPr>
        <w:t xml:space="preserve"> have significantly added to the</w:t>
      </w:r>
      <w:r w:rsidR="008B1373" w:rsidRPr="007D74CB">
        <w:rPr>
          <w:rFonts w:ascii="Tahoma" w:hAnsi="Tahoma" w:cs="Tahoma"/>
        </w:rPr>
        <w:t xml:space="preserve"> annual growth in</w:t>
      </w:r>
      <w:r w:rsidR="00D11BF2" w:rsidRPr="007D74CB">
        <w:rPr>
          <w:rFonts w:ascii="Tahoma" w:hAnsi="Tahoma" w:cs="Tahoma"/>
        </w:rPr>
        <w:t xml:space="preserve"> local retail sales tax </w:t>
      </w:r>
      <w:r w:rsidR="00C97C91">
        <w:rPr>
          <w:rFonts w:ascii="Tahoma" w:hAnsi="Tahoma" w:cs="Tahoma"/>
        </w:rPr>
        <w:t>revenue</w:t>
      </w:r>
      <w:r w:rsidR="008B1373" w:rsidRPr="007D74CB">
        <w:rPr>
          <w:rFonts w:ascii="Tahoma" w:hAnsi="Tahoma" w:cs="Tahoma"/>
        </w:rPr>
        <w:t xml:space="preserve">.  </w:t>
      </w:r>
      <w:r w:rsidR="00C97C91">
        <w:rPr>
          <w:rFonts w:ascii="Tahoma" w:hAnsi="Tahoma" w:cs="Tahoma"/>
        </w:rPr>
        <w:t>Growth in w</w:t>
      </w:r>
      <w:r w:rsidR="008B1373" w:rsidRPr="007D74CB">
        <w:rPr>
          <w:rFonts w:ascii="Tahoma" w:hAnsi="Tahoma" w:cs="Tahoma"/>
        </w:rPr>
        <w:t xml:space="preserve">holesale trade and construction </w:t>
      </w:r>
      <w:r w:rsidR="00C97C91">
        <w:rPr>
          <w:rFonts w:ascii="Tahoma" w:hAnsi="Tahoma" w:cs="Tahoma"/>
        </w:rPr>
        <w:t xml:space="preserve">also </w:t>
      </w:r>
      <w:r w:rsidR="008B1373" w:rsidRPr="007D74CB">
        <w:rPr>
          <w:rFonts w:ascii="Tahoma" w:hAnsi="Tahoma" w:cs="Tahoma"/>
        </w:rPr>
        <w:t>contributed to growth in taxable sales that exceed the industry average.  Interestingly, sales taxes on manufactured goods increased even though total manufacturing sales d</w:t>
      </w:r>
      <w:r w:rsidR="008B1373" w:rsidRPr="007D74CB">
        <w:rPr>
          <w:rFonts w:ascii="Tahoma" w:hAnsi="Tahoma" w:cs="Tahoma"/>
        </w:rPr>
        <w:t>e</w:t>
      </w:r>
      <w:r w:rsidR="008B1373" w:rsidRPr="007D74CB">
        <w:rPr>
          <w:rFonts w:ascii="Tahoma" w:hAnsi="Tahoma" w:cs="Tahoma"/>
        </w:rPr>
        <w:t xml:space="preserve">creased in 2014.  </w:t>
      </w:r>
      <w:r w:rsidR="00C97C91">
        <w:rPr>
          <w:rFonts w:ascii="Tahoma" w:hAnsi="Tahoma" w:cs="Tahoma"/>
        </w:rPr>
        <w:t xml:space="preserve">Although </w:t>
      </w:r>
      <w:r w:rsidR="008B1373" w:rsidRPr="007D74CB">
        <w:rPr>
          <w:rFonts w:ascii="Tahoma" w:hAnsi="Tahoma" w:cs="Tahoma"/>
        </w:rPr>
        <w:t>sales tax r</w:t>
      </w:r>
      <w:r w:rsidR="008B1373" w:rsidRPr="007D74CB">
        <w:rPr>
          <w:rFonts w:ascii="Tahoma" w:hAnsi="Tahoma" w:cs="Tahoma"/>
        </w:rPr>
        <w:t>e</w:t>
      </w:r>
      <w:r w:rsidR="008B1373" w:rsidRPr="007D74CB">
        <w:rPr>
          <w:rFonts w:ascii="Tahoma" w:hAnsi="Tahoma" w:cs="Tahoma"/>
        </w:rPr>
        <w:t>bates are closely correlated with spen</w:t>
      </w:r>
      <w:r w:rsidR="008B1373" w:rsidRPr="007D74CB">
        <w:rPr>
          <w:rFonts w:ascii="Tahoma" w:hAnsi="Tahoma" w:cs="Tahoma"/>
        </w:rPr>
        <w:t>d</w:t>
      </w:r>
      <w:r w:rsidR="008B1373" w:rsidRPr="007D74CB">
        <w:rPr>
          <w:rFonts w:ascii="Tahoma" w:hAnsi="Tahoma" w:cs="Tahoma"/>
        </w:rPr>
        <w:t>ing by households, the local sales tax base is also affected by performance in industries</w:t>
      </w:r>
      <w:r w:rsidR="00C76797">
        <w:rPr>
          <w:rFonts w:ascii="Tahoma" w:hAnsi="Tahoma" w:cs="Tahoma"/>
        </w:rPr>
        <w:t xml:space="preserve"> other than retail </w:t>
      </w:r>
      <w:r w:rsidR="00C97C91">
        <w:rPr>
          <w:rFonts w:ascii="Tahoma" w:hAnsi="Tahoma" w:cs="Tahoma"/>
        </w:rPr>
        <w:t>trade</w:t>
      </w:r>
      <w:r w:rsidR="008B1373" w:rsidRPr="007D74CB">
        <w:rPr>
          <w:rFonts w:ascii="Tahoma" w:hAnsi="Tahoma" w:cs="Tahoma"/>
        </w:rPr>
        <w:t>.</w:t>
      </w:r>
    </w:p>
    <w:p w:rsidR="007D74CB" w:rsidRDefault="007D74CB" w:rsidP="007D2221">
      <w:pPr>
        <w:tabs>
          <w:tab w:val="left" w:pos="0"/>
        </w:tabs>
        <w:spacing w:after="0" w:line="240" w:lineRule="auto"/>
        <w:jc w:val="center"/>
        <w:rPr>
          <w:sz w:val="24"/>
          <w:szCs w:val="24"/>
        </w:rPr>
        <w:sectPr w:rsidR="007D74CB" w:rsidSect="007D74CB">
          <w:type w:val="continuous"/>
          <w:pgSz w:w="12240" w:h="15840"/>
          <w:pgMar w:top="1440" w:right="1350" w:bottom="1440" w:left="2070" w:header="720" w:footer="720" w:gutter="0"/>
          <w:cols w:num="2" w:space="720"/>
          <w:docGrid w:linePitch="360"/>
        </w:sectPr>
      </w:pPr>
    </w:p>
    <w:p w:rsidR="007D2221" w:rsidRPr="00D040AD" w:rsidRDefault="007D2221" w:rsidP="007D2221">
      <w:pPr>
        <w:tabs>
          <w:tab w:val="left" w:pos="0"/>
        </w:tabs>
        <w:spacing w:after="0" w:line="240" w:lineRule="auto"/>
        <w:jc w:val="center"/>
        <w:rPr>
          <w:rFonts w:ascii="Tahoma" w:hAnsi="Tahoma" w:cs="Tahoma"/>
        </w:rPr>
      </w:pPr>
      <w:r w:rsidRPr="00D040AD">
        <w:rPr>
          <w:rFonts w:ascii="Tahoma" w:hAnsi="Tahoma" w:cs="Tahoma"/>
        </w:rPr>
        <w:lastRenderedPageBreak/>
        <w:t>Table 6</w:t>
      </w:r>
    </w:p>
    <w:p w:rsidR="007D2221" w:rsidRPr="0021023F" w:rsidRDefault="007D2221" w:rsidP="007D2221">
      <w:pPr>
        <w:tabs>
          <w:tab w:val="left" w:pos="0"/>
        </w:tabs>
        <w:spacing w:after="0" w:line="240" w:lineRule="auto"/>
        <w:jc w:val="center"/>
        <w:rPr>
          <w:rFonts w:ascii="Tahoma" w:hAnsi="Tahoma" w:cs="Tahoma"/>
        </w:rPr>
      </w:pPr>
      <w:r w:rsidRPr="0021023F">
        <w:rPr>
          <w:rFonts w:ascii="Tahoma" w:hAnsi="Tahoma" w:cs="Tahoma"/>
        </w:rPr>
        <w:t>Waco MSA 2014 Sales, Percent Subject to Sales Tax, and Annual Percent Change in</w:t>
      </w:r>
    </w:p>
    <w:p w:rsidR="007D2221" w:rsidRPr="0021023F" w:rsidRDefault="007D2221" w:rsidP="007D2221">
      <w:pPr>
        <w:tabs>
          <w:tab w:val="left" w:pos="0"/>
        </w:tabs>
        <w:spacing w:after="120" w:line="240" w:lineRule="auto"/>
        <w:jc w:val="center"/>
        <w:rPr>
          <w:rFonts w:ascii="Tahoma" w:hAnsi="Tahoma" w:cs="Tahoma"/>
        </w:rPr>
      </w:pPr>
      <w:r w:rsidRPr="0021023F">
        <w:rPr>
          <w:rFonts w:ascii="Tahoma" w:hAnsi="Tahoma" w:cs="Tahoma"/>
        </w:rPr>
        <w:t>Total Sales and Taxable Sales in Waco MSA</w:t>
      </w:r>
    </w:p>
    <w:tbl>
      <w:tblPr>
        <w:tblW w:w="8835" w:type="dxa"/>
        <w:tblInd w:w="93" w:type="dxa"/>
        <w:tblLook w:val="04A0" w:firstRow="1" w:lastRow="0" w:firstColumn="1" w:lastColumn="0" w:noHBand="0" w:noVBand="1"/>
      </w:tblPr>
      <w:tblGrid>
        <w:gridCol w:w="2249"/>
        <w:gridCol w:w="1726"/>
        <w:gridCol w:w="1026"/>
        <w:gridCol w:w="1344"/>
        <w:gridCol w:w="1254"/>
        <w:gridCol w:w="1236"/>
      </w:tblGrid>
      <w:tr w:rsidR="003669DE" w:rsidRPr="0021023F" w:rsidTr="003669DE">
        <w:trPr>
          <w:trHeight w:val="330"/>
        </w:trPr>
        <w:tc>
          <w:tcPr>
            <w:tcW w:w="2249" w:type="dxa"/>
            <w:tcBorders>
              <w:top w:val="single" w:sz="8" w:space="0" w:color="auto"/>
              <w:left w:val="single" w:sz="8" w:space="0" w:color="auto"/>
              <w:bottom w:val="nil"/>
              <w:right w:val="nil"/>
            </w:tcBorders>
            <w:shd w:val="clear" w:color="auto" w:fill="auto"/>
            <w:noWrap/>
            <w:vAlign w:val="center"/>
            <w:hideMark/>
          </w:tcPr>
          <w:p w:rsidR="007D2221" w:rsidRPr="0021023F" w:rsidRDefault="007D2221" w:rsidP="007D2221">
            <w:pPr>
              <w:spacing w:after="0" w:line="240" w:lineRule="auto"/>
              <w:rPr>
                <w:rFonts w:ascii="Tahoma" w:eastAsia="Times New Roman" w:hAnsi="Tahoma" w:cs="Tahoma"/>
                <w:color w:val="000000"/>
                <w:sz w:val="21"/>
                <w:szCs w:val="21"/>
              </w:rPr>
            </w:pPr>
          </w:p>
        </w:tc>
        <w:tc>
          <w:tcPr>
            <w:tcW w:w="1726" w:type="dxa"/>
            <w:tcBorders>
              <w:top w:val="single" w:sz="8" w:space="0" w:color="auto"/>
              <w:left w:val="single" w:sz="8" w:space="0" w:color="auto"/>
              <w:bottom w:val="nil"/>
              <w:right w:val="single" w:sz="8" w:space="0" w:color="auto"/>
            </w:tcBorders>
            <w:shd w:val="clear" w:color="auto" w:fill="auto"/>
            <w:noWrap/>
            <w:vAlign w:val="center"/>
            <w:hideMark/>
          </w:tcPr>
          <w:p w:rsidR="007D2221" w:rsidRPr="0021023F" w:rsidRDefault="007D2221" w:rsidP="007D2221">
            <w:pPr>
              <w:spacing w:after="0" w:line="240" w:lineRule="auto"/>
              <w:jc w:val="center"/>
              <w:rPr>
                <w:rFonts w:ascii="Tahoma" w:eastAsia="Times New Roman" w:hAnsi="Tahoma" w:cs="Tahoma"/>
                <w:color w:val="000000"/>
                <w:sz w:val="21"/>
                <w:szCs w:val="21"/>
              </w:rPr>
            </w:pPr>
          </w:p>
        </w:tc>
        <w:tc>
          <w:tcPr>
            <w:tcW w:w="1026" w:type="dxa"/>
            <w:tcBorders>
              <w:top w:val="single" w:sz="8" w:space="0" w:color="auto"/>
              <w:left w:val="nil"/>
              <w:bottom w:val="nil"/>
              <w:right w:val="nil"/>
            </w:tcBorders>
            <w:shd w:val="clear" w:color="auto" w:fill="auto"/>
            <w:noWrap/>
            <w:vAlign w:val="center"/>
            <w:hideMark/>
          </w:tcPr>
          <w:p w:rsidR="007D2221" w:rsidRPr="0021023F" w:rsidRDefault="007D2221" w:rsidP="00F656F9">
            <w:pPr>
              <w:spacing w:after="0" w:line="240" w:lineRule="auto"/>
              <w:jc w:val="center"/>
              <w:rPr>
                <w:rFonts w:ascii="Tahoma" w:eastAsia="Times New Roman" w:hAnsi="Tahoma" w:cs="Tahoma"/>
                <w:color w:val="000000"/>
                <w:sz w:val="21"/>
                <w:szCs w:val="21"/>
              </w:rPr>
            </w:pPr>
          </w:p>
        </w:tc>
        <w:tc>
          <w:tcPr>
            <w:tcW w:w="1344" w:type="dxa"/>
            <w:tcBorders>
              <w:top w:val="single" w:sz="8" w:space="0" w:color="auto"/>
              <w:left w:val="single" w:sz="8" w:space="0" w:color="auto"/>
              <w:bottom w:val="nil"/>
              <w:right w:val="single" w:sz="8" w:space="0" w:color="auto"/>
            </w:tcBorders>
            <w:shd w:val="clear" w:color="auto" w:fill="auto"/>
            <w:noWrap/>
            <w:vAlign w:val="center"/>
            <w:hideMark/>
          </w:tcPr>
          <w:p w:rsidR="007D2221" w:rsidRPr="0021023F" w:rsidRDefault="007D2221" w:rsidP="007D2221">
            <w:pPr>
              <w:spacing w:after="0" w:line="240" w:lineRule="auto"/>
              <w:jc w:val="center"/>
              <w:rPr>
                <w:rFonts w:ascii="Tahoma" w:eastAsia="Times New Roman" w:hAnsi="Tahoma" w:cs="Tahoma"/>
                <w:color w:val="000000"/>
                <w:sz w:val="21"/>
                <w:szCs w:val="21"/>
              </w:rPr>
            </w:pPr>
          </w:p>
        </w:tc>
        <w:tc>
          <w:tcPr>
            <w:tcW w:w="1254" w:type="dxa"/>
            <w:tcBorders>
              <w:top w:val="single" w:sz="8" w:space="0" w:color="auto"/>
              <w:left w:val="nil"/>
              <w:bottom w:val="nil"/>
              <w:right w:val="nil"/>
            </w:tcBorders>
            <w:shd w:val="clear" w:color="auto" w:fill="auto"/>
            <w:noWrap/>
            <w:vAlign w:val="center"/>
            <w:hideMark/>
          </w:tcPr>
          <w:p w:rsidR="007D2221" w:rsidRPr="0021023F" w:rsidRDefault="007D2221" w:rsidP="003669DE">
            <w:pPr>
              <w:spacing w:after="0" w:line="240" w:lineRule="auto"/>
              <w:jc w:val="center"/>
              <w:rPr>
                <w:rFonts w:ascii="Tahoma" w:eastAsia="Times New Roman" w:hAnsi="Tahoma" w:cs="Tahoma"/>
                <w:color w:val="000000"/>
                <w:sz w:val="21"/>
                <w:szCs w:val="21"/>
              </w:rPr>
            </w:pPr>
          </w:p>
        </w:tc>
        <w:tc>
          <w:tcPr>
            <w:tcW w:w="1236" w:type="dxa"/>
            <w:tcBorders>
              <w:top w:val="single" w:sz="8" w:space="0" w:color="auto"/>
              <w:left w:val="single" w:sz="8" w:space="0" w:color="auto"/>
              <w:bottom w:val="nil"/>
              <w:right w:val="single" w:sz="8" w:space="0" w:color="auto"/>
            </w:tcBorders>
            <w:shd w:val="clear" w:color="auto" w:fill="auto"/>
            <w:noWrap/>
            <w:vAlign w:val="center"/>
            <w:hideMark/>
          </w:tcPr>
          <w:p w:rsidR="007D2221" w:rsidRPr="0021023F" w:rsidRDefault="007D2221" w:rsidP="007D2221">
            <w:pPr>
              <w:spacing w:after="0" w:line="240" w:lineRule="auto"/>
              <w:jc w:val="center"/>
              <w:rPr>
                <w:rFonts w:ascii="Tahoma" w:eastAsia="Times New Roman" w:hAnsi="Tahoma" w:cs="Tahoma"/>
                <w:color w:val="000000"/>
                <w:sz w:val="21"/>
                <w:szCs w:val="21"/>
              </w:rPr>
            </w:pPr>
          </w:p>
        </w:tc>
      </w:tr>
      <w:tr w:rsidR="003669DE" w:rsidRPr="0021023F" w:rsidTr="003669DE">
        <w:trPr>
          <w:trHeight w:val="180"/>
        </w:trPr>
        <w:tc>
          <w:tcPr>
            <w:tcW w:w="2249" w:type="dxa"/>
            <w:tcBorders>
              <w:top w:val="nil"/>
              <w:left w:val="single" w:sz="8" w:space="0" w:color="auto"/>
              <w:bottom w:val="single" w:sz="8" w:space="0" w:color="auto"/>
              <w:right w:val="nil"/>
            </w:tcBorders>
            <w:shd w:val="clear" w:color="auto" w:fill="auto"/>
            <w:noWrap/>
            <w:vAlign w:val="bottom"/>
            <w:hideMark/>
          </w:tcPr>
          <w:p w:rsidR="007D2221" w:rsidRPr="0021023F" w:rsidRDefault="00D040AD" w:rsidP="003669DE">
            <w:pPr>
              <w:spacing w:after="0" w:line="240" w:lineRule="auto"/>
              <w:jc w:val="center"/>
              <w:rPr>
                <w:rFonts w:ascii="Tahoma" w:eastAsia="Times New Roman" w:hAnsi="Tahoma" w:cs="Tahoma"/>
                <w:color w:val="000000"/>
                <w:sz w:val="20"/>
                <w:szCs w:val="20"/>
              </w:rPr>
            </w:pPr>
            <w:r w:rsidRPr="0021023F">
              <w:rPr>
                <w:rFonts w:ascii="Tahoma" w:eastAsia="Times New Roman" w:hAnsi="Tahoma" w:cs="Tahoma"/>
                <w:color w:val="000000"/>
                <w:sz w:val="20"/>
                <w:szCs w:val="20"/>
              </w:rPr>
              <w:t>Industry</w:t>
            </w:r>
          </w:p>
        </w:tc>
        <w:tc>
          <w:tcPr>
            <w:tcW w:w="1726" w:type="dxa"/>
            <w:tcBorders>
              <w:top w:val="nil"/>
              <w:left w:val="single" w:sz="8" w:space="0" w:color="auto"/>
              <w:bottom w:val="single" w:sz="8" w:space="0" w:color="auto"/>
              <w:right w:val="single" w:sz="8" w:space="0" w:color="auto"/>
            </w:tcBorders>
            <w:shd w:val="clear" w:color="auto" w:fill="auto"/>
            <w:noWrap/>
            <w:vAlign w:val="bottom"/>
            <w:hideMark/>
          </w:tcPr>
          <w:p w:rsidR="007D2221" w:rsidRPr="0021023F" w:rsidRDefault="00D040AD" w:rsidP="003669DE">
            <w:pPr>
              <w:spacing w:after="0" w:line="240" w:lineRule="auto"/>
              <w:jc w:val="center"/>
              <w:rPr>
                <w:rFonts w:ascii="Tahoma" w:eastAsia="Times New Roman" w:hAnsi="Tahoma" w:cs="Tahoma"/>
                <w:color w:val="000000"/>
                <w:sz w:val="20"/>
                <w:szCs w:val="20"/>
              </w:rPr>
            </w:pPr>
            <w:r w:rsidRPr="0021023F">
              <w:rPr>
                <w:rFonts w:ascii="Tahoma" w:eastAsia="Times New Roman" w:hAnsi="Tahoma" w:cs="Tahoma"/>
                <w:color w:val="000000"/>
                <w:sz w:val="20"/>
                <w:szCs w:val="20"/>
              </w:rPr>
              <w:t xml:space="preserve">Waco MSA </w:t>
            </w:r>
            <w:r w:rsidR="007D2221" w:rsidRPr="0021023F">
              <w:rPr>
                <w:rFonts w:ascii="Tahoma" w:eastAsia="Times New Roman" w:hAnsi="Tahoma" w:cs="Tahoma"/>
                <w:color w:val="000000"/>
                <w:sz w:val="20"/>
                <w:szCs w:val="20"/>
              </w:rPr>
              <w:t>Sales</w:t>
            </w:r>
            <w:r w:rsidRPr="0021023F">
              <w:rPr>
                <w:rFonts w:ascii="Tahoma" w:eastAsia="Times New Roman" w:hAnsi="Tahoma" w:cs="Tahoma"/>
                <w:color w:val="000000"/>
                <w:sz w:val="20"/>
                <w:szCs w:val="20"/>
              </w:rPr>
              <w:t xml:space="preserve"> 2014</w:t>
            </w:r>
          </w:p>
        </w:tc>
        <w:tc>
          <w:tcPr>
            <w:tcW w:w="1026" w:type="dxa"/>
            <w:tcBorders>
              <w:top w:val="nil"/>
              <w:left w:val="nil"/>
              <w:bottom w:val="single" w:sz="8" w:space="0" w:color="auto"/>
              <w:right w:val="nil"/>
            </w:tcBorders>
            <w:shd w:val="clear" w:color="auto" w:fill="auto"/>
            <w:noWrap/>
            <w:vAlign w:val="bottom"/>
            <w:hideMark/>
          </w:tcPr>
          <w:p w:rsidR="007D2221" w:rsidRPr="0021023F" w:rsidRDefault="003669DE" w:rsidP="003669DE">
            <w:pPr>
              <w:spacing w:after="0" w:line="240" w:lineRule="auto"/>
              <w:jc w:val="center"/>
              <w:rPr>
                <w:rFonts w:ascii="Tahoma" w:eastAsia="Times New Roman" w:hAnsi="Tahoma" w:cs="Tahoma"/>
                <w:color w:val="000000"/>
                <w:sz w:val="20"/>
                <w:szCs w:val="20"/>
              </w:rPr>
            </w:pPr>
            <w:r w:rsidRPr="0021023F">
              <w:rPr>
                <w:rFonts w:ascii="Tahoma" w:eastAsia="Times New Roman" w:hAnsi="Tahoma" w:cs="Tahoma"/>
                <w:color w:val="000000"/>
                <w:sz w:val="20"/>
                <w:szCs w:val="20"/>
              </w:rPr>
              <w:t xml:space="preserve">Percent </w:t>
            </w:r>
            <w:r w:rsidR="00F656F9" w:rsidRPr="0021023F">
              <w:rPr>
                <w:rFonts w:ascii="Tahoma" w:eastAsia="Times New Roman" w:hAnsi="Tahoma" w:cs="Tahoma"/>
                <w:color w:val="000000"/>
                <w:sz w:val="20"/>
                <w:szCs w:val="20"/>
              </w:rPr>
              <w:t xml:space="preserve">of </w:t>
            </w:r>
            <w:r w:rsidR="007D2221" w:rsidRPr="0021023F">
              <w:rPr>
                <w:rFonts w:ascii="Tahoma" w:eastAsia="Times New Roman" w:hAnsi="Tahoma" w:cs="Tahoma"/>
                <w:color w:val="000000"/>
                <w:sz w:val="20"/>
                <w:szCs w:val="20"/>
              </w:rPr>
              <w:t>Total</w:t>
            </w:r>
          </w:p>
        </w:tc>
        <w:tc>
          <w:tcPr>
            <w:tcW w:w="1344" w:type="dxa"/>
            <w:tcBorders>
              <w:top w:val="nil"/>
              <w:left w:val="single" w:sz="8" w:space="0" w:color="auto"/>
              <w:bottom w:val="single" w:sz="8" w:space="0" w:color="auto"/>
              <w:right w:val="single" w:sz="8" w:space="0" w:color="auto"/>
            </w:tcBorders>
            <w:shd w:val="clear" w:color="auto" w:fill="auto"/>
            <w:noWrap/>
            <w:vAlign w:val="bottom"/>
            <w:hideMark/>
          </w:tcPr>
          <w:p w:rsidR="007D2221" w:rsidRPr="0021023F" w:rsidRDefault="003669DE" w:rsidP="003669DE">
            <w:pPr>
              <w:spacing w:after="0" w:line="240" w:lineRule="auto"/>
              <w:jc w:val="center"/>
              <w:rPr>
                <w:rFonts w:ascii="Tahoma" w:eastAsia="Times New Roman" w:hAnsi="Tahoma" w:cs="Tahoma"/>
                <w:color w:val="000000"/>
                <w:sz w:val="20"/>
                <w:szCs w:val="20"/>
              </w:rPr>
            </w:pPr>
            <w:r w:rsidRPr="0021023F">
              <w:rPr>
                <w:rFonts w:ascii="Tahoma" w:eastAsia="Times New Roman" w:hAnsi="Tahoma" w:cs="Tahoma"/>
                <w:color w:val="000000"/>
                <w:sz w:val="20"/>
                <w:szCs w:val="20"/>
              </w:rPr>
              <w:t>Percent Taxed</w:t>
            </w:r>
          </w:p>
        </w:tc>
        <w:tc>
          <w:tcPr>
            <w:tcW w:w="1254" w:type="dxa"/>
            <w:tcBorders>
              <w:top w:val="nil"/>
              <w:left w:val="nil"/>
              <w:bottom w:val="single" w:sz="8" w:space="0" w:color="auto"/>
              <w:right w:val="nil"/>
            </w:tcBorders>
            <w:shd w:val="clear" w:color="auto" w:fill="auto"/>
            <w:noWrap/>
            <w:vAlign w:val="bottom"/>
            <w:hideMark/>
          </w:tcPr>
          <w:p w:rsidR="003669DE" w:rsidRPr="0021023F" w:rsidRDefault="003669DE" w:rsidP="003669DE">
            <w:pPr>
              <w:spacing w:after="0" w:line="240" w:lineRule="auto"/>
              <w:jc w:val="center"/>
              <w:rPr>
                <w:rFonts w:ascii="Tahoma" w:eastAsia="Times New Roman" w:hAnsi="Tahoma" w:cs="Tahoma"/>
                <w:color w:val="000000"/>
                <w:sz w:val="20"/>
                <w:szCs w:val="20"/>
              </w:rPr>
            </w:pPr>
            <w:r w:rsidRPr="0021023F">
              <w:rPr>
                <w:rFonts w:ascii="Tahoma" w:eastAsia="Times New Roman" w:hAnsi="Tahoma" w:cs="Tahoma"/>
                <w:color w:val="000000"/>
                <w:sz w:val="20"/>
                <w:szCs w:val="20"/>
              </w:rPr>
              <w:t>Annual</w:t>
            </w:r>
          </w:p>
          <w:p w:rsidR="007D2221" w:rsidRPr="0021023F" w:rsidRDefault="003669DE" w:rsidP="003669DE">
            <w:pPr>
              <w:spacing w:after="0" w:line="240" w:lineRule="auto"/>
              <w:jc w:val="center"/>
              <w:rPr>
                <w:rFonts w:ascii="Tahoma" w:eastAsia="Times New Roman" w:hAnsi="Tahoma" w:cs="Tahoma"/>
                <w:color w:val="000000"/>
                <w:sz w:val="20"/>
                <w:szCs w:val="20"/>
              </w:rPr>
            </w:pPr>
            <w:r w:rsidRPr="0021023F">
              <w:rPr>
                <w:rFonts w:ascii="Tahoma" w:eastAsia="Times New Roman" w:hAnsi="Tahoma" w:cs="Tahoma"/>
                <w:color w:val="000000"/>
                <w:sz w:val="20"/>
                <w:szCs w:val="20"/>
              </w:rPr>
              <w:t>% Change</w:t>
            </w:r>
            <w:r w:rsidR="007D2221" w:rsidRPr="0021023F">
              <w:rPr>
                <w:rFonts w:ascii="Tahoma" w:eastAsia="Times New Roman" w:hAnsi="Tahoma" w:cs="Tahoma"/>
                <w:color w:val="000000"/>
                <w:sz w:val="20"/>
                <w:szCs w:val="20"/>
              </w:rPr>
              <w:t xml:space="preserve"> MSA Sales</w:t>
            </w:r>
          </w:p>
        </w:tc>
        <w:tc>
          <w:tcPr>
            <w:tcW w:w="1236" w:type="dxa"/>
            <w:tcBorders>
              <w:top w:val="nil"/>
              <w:left w:val="single" w:sz="8" w:space="0" w:color="auto"/>
              <w:bottom w:val="single" w:sz="8" w:space="0" w:color="auto"/>
              <w:right w:val="single" w:sz="8" w:space="0" w:color="auto"/>
            </w:tcBorders>
            <w:shd w:val="clear" w:color="auto" w:fill="auto"/>
            <w:noWrap/>
            <w:vAlign w:val="bottom"/>
            <w:hideMark/>
          </w:tcPr>
          <w:p w:rsidR="007D2221" w:rsidRPr="0021023F" w:rsidRDefault="003669DE" w:rsidP="003669DE">
            <w:pPr>
              <w:spacing w:after="0" w:line="240" w:lineRule="auto"/>
              <w:jc w:val="center"/>
              <w:rPr>
                <w:rFonts w:ascii="Tahoma" w:eastAsia="Times New Roman" w:hAnsi="Tahoma" w:cs="Tahoma"/>
                <w:color w:val="000000"/>
                <w:sz w:val="20"/>
                <w:szCs w:val="20"/>
              </w:rPr>
            </w:pPr>
            <w:r w:rsidRPr="0021023F">
              <w:rPr>
                <w:rFonts w:ascii="Tahoma" w:eastAsia="Times New Roman" w:hAnsi="Tahoma" w:cs="Tahoma"/>
                <w:color w:val="000000"/>
                <w:sz w:val="20"/>
                <w:szCs w:val="20"/>
              </w:rPr>
              <w:t xml:space="preserve">Ann. % Change </w:t>
            </w:r>
            <w:r w:rsidR="007D2221" w:rsidRPr="0021023F">
              <w:rPr>
                <w:rFonts w:ascii="Tahoma" w:eastAsia="Times New Roman" w:hAnsi="Tahoma" w:cs="Tahoma"/>
                <w:color w:val="000000"/>
                <w:sz w:val="20"/>
                <w:szCs w:val="20"/>
              </w:rPr>
              <w:t>Taxable Sales</w:t>
            </w:r>
          </w:p>
        </w:tc>
      </w:tr>
      <w:tr w:rsidR="003669DE" w:rsidRPr="0021023F" w:rsidTr="00A57EF4">
        <w:trPr>
          <w:trHeight w:val="259"/>
        </w:trPr>
        <w:tc>
          <w:tcPr>
            <w:tcW w:w="2249" w:type="dxa"/>
            <w:tcBorders>
              <w:top w:val="nil"/>
              <w:left w:val="single" w:sz="8" w:space="0" w:color="auto"/>
              <w:bottom w:val="nil"/>
              <w:right w:val="nil"/>
            </w:tcBorders>
            <w:shd w:val="clear" w:color="auto" w:fill="auto"/>
            <w:noWrap/>
            <w:vAlign w:val="center"/>
            <w:hideMark/>
          </w:tcPr>
          <w:p w:rsidR="007D2221" w:rsidRPr="0021023F" w:rsidRDefault="007D2221" w:rsidP="007D2221">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 xml:space="preserve">All Industries </w:t>
            </w:r>
          </w:p>
        </w:tc>
        <w:tc>
          <w:tcPr>
            <w:tcW w:w="1726" w:type="dxa"/>
            <w:tcBorders>
              <w:top w:val="nil"/>
              <w:left w:val="single" w:sz="8" w:space="0" w:color="auto"/>
              <w:bottom w:val="nil"/>
              <w:right w:val="single" w:sz="8" w:space="0" w:color="auto"/>
            </w:tcBorders>
            <w:shd w:val="clear" w:color="auto" w:fill="auto"/>
            <w:vAlign w:val="center"/>
            <w:hideMark/>
          </w:tcPr>
          <w:p w:rsidR="007D2221" w:rsidRPr="0021023F" w:rsidRDefault="007D2221" w:rsidP="007D2221">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11,394,604,121</w:t>
            </w:r>
          </w:p>
        </w:tc>
        <w:tc>
          <w:tcPr>
            <w:tcW w:w="1026" w:type="dxa"/>
            <w:tcBorders>
              <w:top w:val="nil"/>
              <w:left w:val="nil"/>
              <w:bottom w:val="nil"/>
              <w:right w:val="nil"/>
            </w:tcBorders>
            <w:shd w:val="clear" w:color="auto" w:fill="auto"/>
            <w:noWrap/>
            <w:vAlign w:val="center"/>
            <w:hideMark/>
          </w:tcPr>
          <w:p w:rsidR="007D2221" w:rsidRPr="0021023F" w:rsidRDefault="007D2221" w:rsidP="007D2221">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100</w:t>
            </w:r>
          </w:p>
        </w:tc>
        <w:tc>
          <w:tcPr>
            <w:tcW w:w="1344" w:type="dxa"/>
            <w:tcBorders>
              <w:top w:val="nil"/>
              <w:left w:val="single" w:sz="8" w:space="0" w:color="auto"/>
              <w:bottom w:val="nil"/>
              <w:right w:val="single" w:sz="8" w:space="0" w:color="auto"/>
            </w:tcBorders>
            <w:shd w:val="clear" w:color="auto" w:fill="auto"/>
            <w:noWrap/>
            <w:vAlign w:val="center"/>
            <w:hideMark/>
          </w:tcPr>
          <w:p w:rsidR="007D2221" w:rsidRPr="0021023F" w:rsidRDefault="007D2221" w:rsidP="003669DE">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22.</w:t>
            </w:r>
            <w:r w:rsidR="003669DE" w:rsidRPr="0021023F">
              <w:rPr>
                <w:rFonts w:ascii="Tahoma" w:eastAsia="Times New Roman" w:hAnsi="Tahoma" w:cs="Tahoma"/>
                <w:color w:val="000000"/>
                <w:sz w:val="20"/>
                <w:szCs w:val="20"/>
              </w:rPr>
              <w:t>2</w:t>
            </w:r>
          </w:p>
        </w:tc>
        <w:tc>
          <w:tcPr>
            <w:tcW w:w="1254" w:type="dxa"/>
            <w:tcBorders>
              <w:top w:val="nil"/>
              <w:left w:val="nil"/>
              <w:bottom w:val="nil"/>
              <w:right w:val="nil"/>
            </w:tcBorders>
            <w:shd w:val="clear" w:color="auto" w:fill="auto"/>
            <w:noWrap/>
            <w:vAlign w:val="center"/>
            <w:hideMark/>
          </w:tcPr>
          <w:p w:rsidR="007D2221" w:rsidRPr="0021023F" w:rsidRDefault="007D2221" w:rsidP="003669DE">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4.</w:t>
            </w:r>
            <w:r w:rsidR="003669DE" w:rsidRPr="0021023F">
              <w:rPr>
                <w:rFonts w:ascii="Tahoma" w:eastAsia="Times New Roman" w:hAnsi="Tahoma" w:cs="Tahoma"/>
                <w:color w:val="000000"/>
                <w:sz w:val="20"/>
                <w:szCs w:val="20"/>
              </w:rPr>
              <w:t>1</w:t>
            </w:r>
          </w:p>
        </w:tc>
        <w:tc>
          <w:tcPr>
            <w:tcW w:w="1236" w:type="dxa"/>
            <w:tcBorders>
              <w:top w:val="nil"/>
              <w:left w:val="single" w:sz="8" w:space="0" w:color="auto"/>
              <w:bottom w:val="nil"/>
              <w:right w:val="single" w:sz="8" w:space="0" w:color="auto"/>
            </w:tcBorders>
            <w:shd w:val="clear" w:color="auto" w:fill="auto"/>
            <w:noWrap/>
            <w:vAlign w:val="center"/>
            <w:hideMark/>
          </w:tcPr>
          <w:p w:rsidR="007D2221" w:rsidRPr="0021023F" w:rsidRDefault="007D2221" w:rsidP="003669DE">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6.</w:t>
            </w:r>
            <w:r w:rsidR="003669DE" w:rsidRPr="0021023F">
              <w:rPr>
                <w:rFonts w:ascii="Tahoma" w:eastAsia="Times New Roman" w:hAnsi="Tahoma" w:cs="Tahoma"/>
                <w:color w:val="000000"/>
                <w:sz w:val="20"/>
                <w:szCs w:val="20"/>
              </w:rPr>
              <w:t>4</w:t>
            </w:r>
          </w:p>
        </w:tc>
      </w:tr>
      <w:tr w:rsidR="003669DE" w:rsidRPr="0021023F" w:rsidTr="00A57EF4">
        <w:trPr>
          <w:trHeight w:val="270"/>
        </w:trPr>
        <w:tc>
          <w:tcPr>
            <w:tcW w:w="2249" w:type="dxa"/>
            <w:tcBorders>
              <w:top w:val="nil"/>
              <w:left w:val="single" w:sz="8" w:space="0" w:color="auto"/>
              <w:bottom w:val="nil"/>
              <w:right w:val="nil"/>
            </w:tcBorders>
            <w:shd w:val="clear" w:color="auto" w:fill="auto"/>
            <w:noWrap/>
            <w:vAlign w:val="center"/>
            <w:hideMark/>
          </w:tcPr>
          <w:p w:rsidR="007D2221" w:rsidRPr="0021023F" w:rsidRDefault="007D2221" w:rsidP="007D2221">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Construction</w:t>
            </w:r>
          </w:p>
        </w:tc>
        <w:tc>
          <w:tcPr>
            <w:tcW w:w="1726" w:type="dxa"/>
            <w:tcBorders>
              <w:top w:val="nil"/>
              <w:left w:val="single" w:sz="8" w:space="0" w:color="auto"/>
              <w:bottom w:val="nil"/>
              <w:right w:val="single" w:sz="8" w:space="0" w:color="auto"/>
            </w:tcBorders>
            <w:shd w:val="clear" w:color="auto" w:fill="auto"/>
            <w:vAlign w:val="center"/>
            <w:hideMark/>
          </w:tcPr>
          <w:p w:rsidR="007D2221" w:rsidRPr="0021023F" w:rsidRDefault="007D2221" w:rsidP="007D2221">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1,030,786,618</w:t>
            </w:r>
          </w:p>
        </w:tc>
        <w:tc>
          <w:tcPr>
            <w:tcW w:w="1026" w:type="dxa"/>
            <w:tcBorders>
              <w:top w:val="nil"/>
              <w:left w:val="nil"/>
              <w:bottom w:val="nil"/>
              <w:right w:val="nil"/>
            </w:tcBorders>
            <w:shd w:val="clear" w:color="auto" w:fill="auto"/>
            <w:noWrap/>
            <w:vAlign w:val="center"/>
            <w:hideMark/>
          </w:tcPr>
          <w:p w:rsidR="007D2221" w:rsidRPr="0021023F" w:rsidRDefault="007D2221" w:rsidP="003669DE">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9.</w:t>
            </w:r>
            <w:r w:rsidR="003669DE" w:rsidRPr="0021023F">
              <w:rPr>
                <w:rFonts w:ascii="Tahoma" w:eastAsia="Times New Roman" w:hAnsi="Tahoma" w:cs="Tahoma"/>
                <w:color w:val="000000"/>
                <w:sz w:val="20"/>
                <w:szCs w:val="20"/>
              </w:rPr>
              <w:t>1</w:t>
            </w:r>
          </w:p>
        </w:tc>
        <w:tc>
          <w:tcPr>
            <w:tcW w:w="1344" w:type="dxa"/>
            <w:tcBorders>
              <w:top w:val="nil"/>
              <w:left w:val="single" w:sz="8" w:space="0" w:color="auto"/>
              <w:bottom w:val="nil"/>
              <w:right w:val="single" w:sz="8" w:space="0" w:color="auto"/>
            </w:tcBorders>
            <w:shd w:val="clear" w:color="auto" w:fill="auto"/>
            <w:noWrap/>
            <w:vAlign w:val="center"/>
            <w:hideMark/>
          </w:tcPr>
          <w:p w:rsidR="007D2221" w:rsidRPr="0021023F" w:rsidRDefault="007D2221" w:rsidP="003669DE">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10.</w:t>
            </w:r>
            <w:r w:rsidR="003669DE" w:rsidRPr="0021023F">
              <w:rPr>
                <w:rFonts w:ascii="Tahoma" w:eastAsia="Times New Roman" w:hAnsi="Tahoma" w:cs="Tahoma"/>
                <w:color w:val="000000"/>
                <w:sz w:val="20"/>
                <w:szCs w:val="20"/>
              </w:rPr>
              <w:t>1</w:t>
            </w:r>
          </w:p>
        </w:tc>
        <w:tc>
          <w:tcPr>
            <w:tcW w:w="1254" w:type="dxa"/>
            <w:tcBorders>
              <w:top w:val="nil"/>
              <w:left w:val="nil"/>
              <w:bottom w:val="nil"/>
              <w:right w:val="nil"/>
            </w:tcBorders>
            <w:shd w:val="clear" w:color="auto" w:fill="auto"/>
            <w:noWrap/>
            <w:vAlign w:val="center"/>
            <w:hideMark/>
          </w:tcPr>
          <w:p w:rsidR="007D2221" w:rsidRPr="0021023F" w:rsidRDefault="007D2221" w:rsidP="003669DE">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18.7</w:t>
            </w:r>
          </w:p>
        </w:tc>
        <w:tc>
          <w:tcPr>
            <w:tcW w:w="1236" w:type="dxa"/>
            <w:tcBorders>
              <w:top w:val="nil"/>
              <w:left w:val="single" w:sz="8" w:space="0" w:color="auto"/>
              <w:bottom w:val="nil"/>
              <w:right w:val="single" w:sz="8" w:space="0" w:color="auto"/>
            </w:tcBorders>
            <w:shd w:val="clear" w:color="auto" w:fill="auto"/>
            <w:noWrap/>
            <w:vAlign w:val="center"/>
            <w:hideMark/>
          </w:tcPr>
          <w:p w:rsidR="007D2221" w:rsidRPr="0021023F" w:rsidRDefault="007D2221" w:rsidP="003669DE">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10.</w:t>
            </w:r>
            <w:r w:rsidR="003669DE" w:rsidRPr="0021023F">
              <w:rPr>
                <w:rFonts w:ascii="Tahoma" w:eastAsia="Times New Roman" w:hAnsi="Tahoma" w:cs="Tahoma"/>
                <w:color w:val="000000"/>
                <w:sz w:val="20"/>
                <w:szCs w:val="20"/>
              </w:rPr>
              <w:t>1</w:t>
            </w:r>
          </w:p>
        </w:tc>
      </w:tr>
      <w:tr w:rsidR="003669DE" w:rsidRPr="0021023F" w:rsidTr="00A57EF4">
        <w:trPr>
          <w:trHeight w:val="288"/>
        </w:trPr>
        <w:tc>
          <w:tcPr>
            <w:tcW w:w="2249" w:type="dxa"/>
            <w:tcBorders>
              <w:top w:val="nil"/>
              <w:left w:val="single" w:sz="8" w:space="0" w:color="auto"/>
              <w:bottom w:val="nil"/>
              <w:right w:val="nil"/>
            </w:tcBorders>
            <w:shd w:val="clear" w:color="auto" w:fill="auto"/>
            <w:noWrap/>
            <w:vAlign w:val="center"/>
            <w:hideMark/>
          </w:tcPr>
          <w:p w:rsidR="007D2221" w:rsidRPr="0021023F" w:rsidRDefault="007D2221" w:rsidP="007D2221">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Manufacturing</w:t>
            </w:r>
          </w:p>
        </w:tc>
        <w:tc>
          <w:tcPr>
            <w:tcW w:w="1726" w:type="dxa"/>
            <w:tcBorders>
              <w:top w:val="nil"/>
              <w:left w:val="single" w:sz="8" w:space="0" w:color="auto"/>
              <w:bottom w:val="nil"/>
              <w:right w:val="single" w:sz="8" w:space="0" w:color="auto"/>
            </w:tcBorders>
            <w:shd w:val="clear" w:color="auto" w:fill="auto"/>
            <w:vAlign w:val="center"/>
            <w:hideMark/>
          </w:tcPr>
          <w:p w:rsidR="007D2221" w:rsidRPr="0021023F" w:rsidRDefault="007D2221" w:rsidP="007D2221">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2,697,155,094</w:t>
            </w:r>
          </w:p>
        </w:tc>
        <w:tc>
          <w:tcPr>
            <w:tcW w:w="1026" w:type="dxa"/>
            <w:tcBorders>
              <w:top w:val="nil"/>
              <w:left w:val="nil"/>
              <w:bottom w:val="nil"/>
              <w:right w:val="nil"/>
            </w:tcBorders>
            <w:shd w:val="clear" w:color="auto" w:fill="auto"/>
            <w:noWrap/>
            <w:vAlign w:val="center"/>
            <w:hideMark/>
          </w:tcPr>
          <w:p w:rsidR="007D2221" w:rsidRPr="0021023F" w:rsidRDefault="007D2221" w:rsidP="003669DE">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23.</w:t>
            </w:r>
            <w:r w:rsidR="003669DE" w:rsidRPr="0021023F">
              <w:rPr>
                <w:rFonts w:ascii="Tahoma" w:eastAsia="Times New Roman" w:hAnsi="Tahoma" w:cs="Tahoma"/>
                <w:color w:val="000000"/>
                <w:sz w:val="20"/>
                <w:szCs w:val="20"/>
              </w:rPr>
              <w:t>7</w:t>
            </w:r>
          </w:p>
        </w:tc>
        <w:tc>
          <w:tcPr>
            <w:tcW w:w="1344" w:type="dxa"/>
            <w:tcBorders>
              <w:top w:val="nil"/>
              <w:left w:val="single" w:sz="8" w:space="0" w:color="auto"/>
              <w:bottom w:val="nil"/>
              <w:right w:val="single" w:sz="8" w:space="0" w:color="auto"/>
            </w:tcBorders>
            <w:shd w:val="clear" w:color="auto" w:fill="auto"/>
            <w:noWrap/>
            <w:vAlign w:val="center"/>
            <w:hideMark/>
          </w:tcPr>
          <w:p w:rsidR="007D2221" w:rsidRPr="0021023F" w:rsidRDefault="007D2221" w:rsidP="003669DE">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4.</w:t>
            </w:r>
            <w:r w:rsidR="003669DE" w:rsidRPr="0021023F">
              <w:rPr>
                <w:rFonts w:ascii="Tahoma" w:eastAsia="Times New Roman" w:hAnsi="Tahoma" w:cs="Tahoma"/>
                <w:color w:val="000000"/>
                <w:sz w:val="20"/>
                <w:szCs w:val="20"/>
              </w:rPr>
              <w:t>3</w:t>
            </w:r>
          </w:p>
        </w:tc>
        <w:tc>
          <w:tcPr>
            <w:tcW w:w="1254" w:type="dxa"/>
            <w:tcBorders>
              <w:top w:val="nil"/>
              <w:left w:val="nil"/>
              <w:bottom w:val="nil"/>
              <w:right w:val="nil"/>
            </w:tcBorders>
            <w:shd w:val="clear" w:color="auto" w:fill="auto"/>
            <w:noWrap/>
            <w:vAlign w:val="center"/>
            <w:hideMark/>
          </w:tcPr>
          <w:p w:rsidR="007D2221" w:rsidRPr="0021023F" w:rsidRDefault="007D2221" w:rsidP="003669DE">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-6.5</w:t>
            </w:r>
          </w:p>
        </w:tc>
        <w:tc>
          <w:tcPr>
            <w:tcW w:w="1236" w:type="dxa"/>
            <w:tcBorders>
              <w:top w:val="nil"/>
              <w:left w:val="single" w:sz="8" w:space="0" w:color="auto"/>
              <w:bottom w:val="nil"/>
              <w:right w:val="single" w:sz="8" w:space="0" w:color="auto"/>
            </w:tcBorders>
            <w:shd w:val="clear" w:color="auto" w:fill="auto"/>
            <w:noWrap/>
            <w:vAlign w:val="center"/>
            <w:hideMark/>
          </w:tcPr>
          <w:p w:rsidR="007D2221" w:rsidRPr="0021023F" w:rsidRDefault="007D2221" w:rsidP="003669DE">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12.</w:t>
            </w:r>
            <w:r w:rsidR="003669DE" w:rsidRPr="0021023F">
              <w:rPr>
                <w:rFonts w:ascii="Tahoma" w:eastAsia="Times New Roman" w:hAnsi="Tahoma" w:cs="Tahoma"/>
                <w:color w:val="000000"/>
                <w:sz w:val="20"/>
                <w:szCs w:val="20"/>
              </w:rPr>
              <w:t>9</w:t>
            </w:r>
          </w:p>
        </w:tc>
      </w:tr>
      <w:tr w:rsidR="003669DE" w:rsidRPr="0021023F" w:rsidTr="00A57EF4">
        <w:trPr>
          <w:trHeight w:val="261"/>
        </w:trPr>
        <w:tc>
          <w:tcPr>
            <w:tcW w:w="2249" w:type="dxa"/>
            <w:tcBorders>
              <w:top w:val="nil"/>
              <w:left w:val="single" w:sz="8" w:space="0" w:color="auto"/>
              <w:bottom w:val="nil"/>
              <w:right w:val="nil"/>
            </w:tcBorders>
            <w:shd w:val="clear" w:color="auto" w:fill="auto"/>
            <w:noWrap/>
            <w:vAlign w:val="center"/>
            <w:hideMark/>
          </w:tcPr>
          <w:p w:rsidR="007D2221" w:rsidRPr="0021023F" w:rsidRDefault="007D2221" w:rsidP="007D2221">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 xml:space="preserve">Wholesale Trade </w:t>
            </w:r>
          </w:p>
        </w:tc>
        <w:tc>
          <w:tcPr>
            <w:tcW w:w="1726" w:type="dxa"/>
            <w:tcBorders>
              <w:top w:val="nil"/>
              <w:left w:val="single" w:sz="8" w:space="0" w:color="auto"/>
              <w:bottom w:val="nil"/>
              <w:right w:val="single" w:sz="8" w:space="0" w:color="auto"/>
            </w:tcBorders>
            <w:shd w:val="clear" w:color="auto" w:fill="auto"/>
            <w:vAlign w:val="center"/>
            <w:hideMark/>
          </w:tcPr>
          <w:p w:rsidR="007D2221" w:rsidRPr="0021023F" w:rsidRDefault="007D2221" w:rsidP="007D2221">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1,216,774,338</w:t>
            </w:r>
          </w:p>
        </w:tc>
        <w:tc>
          <w:tcPr>
            <w:tcW w:w="1026" w:type="dxa"/>
            <w:tcBorders>
              <w:top w:val="nil"/>
              <w:left w:val="nil"/>
              <w:bottom w:val="nil"/>
              <w:right w:val="nil"/>
            </w:tcBorders>
            <w:shd w:val="clear" w:color="auto" w:fill="auto"/>
            <w:noWrap/>
            <w:vAlign w:val="center"/>
            <w:hideMark/>
          </w:tcPr>
          <w:p w:rsidR="007D2221" w:rsidRPr="0021023F" w:rsidRDefault="007D2221" w:rsidP="003669DE">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10.</w:t>
            </w:r>
            <w:r w:rsidR="003669DE" w:rsidRPr="0021023F">
              <w:rPr>
                <w:rFonts w:ascii="Tahoma" w:eastAsia="Times New Roman" w:hAnsi="Tahoma" w:cs="Tahoma"/>
                <w:color w:val="000000"/>
                <w:sz w:val="20"/>
                <w:szCs w:val="20"/>
              </w:rPr>
              <w:t>7</w:t>
            </w:r>
          </w:p>
        </w:tc>
        <w:tc>
          <w:tcPr>
            <w:tcW w:w="1344" w:type="dxa"/>
            <w:tcBorders>
              <w:top w:val="nil"/>
              <w:left w:val="single" w:sz="8" w:space="0" w:color="auto"/>
              <w:bottom w:val="nil"/>
              <w:right w:val="single" w:sz="8" w:space="0" w:color="auto"/>
            </w:tcBorders>
            <w:shd w:val="clear" w:color="auto" w:fill="auto"/>
            <w:noWrap/>
            <w:vAlign w:val="center"/>
            <w:hideMark/>
          </w:tcPr>
          <w:p w:rsidR="007D2221" w:rsidRPr="0021023F" w:rsidRDefault="007D2221" w:rsidP="003669DE">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12.</w:t>
            </w:r>
            <w:r w:rsidR="003669DE" w:rsidRPr="0021023F">
              <w:rPr>
                <w:rFonts w:ascii="Tahoma" w:eastAsia="Times New Roman" w:hAnsi="Tahoma" w:cs="Tahoma"/>
                <w:color w:val="000000"/>
                <w:sz w:val="20"/>
                <w:szCs w:val="20"/>
              </w:rPr>
              <w:t>1</w:t>
            </w:r>
          </w:p>
        </w:tc>
        <w:tc>
          <w:tcPr>
            <w:tcW w:w="1254" w:type="dxa"/>
            <w:tcBorders>
              <w:top w:val="nil"/>
              <w:left w:val="nil"/>
              <w:bottom w:val="nil"/>
              <w:right w:val="nil"/>
            </w:tcBorders>
            <w:shd w:val="clear" w:color="auto" w:fill="auto"/>
            <w:noWrap/>
            <w:vAlign w:val="center"/>
            <w:hideMark/>
          </w:tcPr>
          <w:p w:rsidR="007D2221" w:rsidRPr="0021023F" w:rsidRDefault="007D2221" w:rsidP="003669DE">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2.9</w:t>
            </w:r>
          </w:p>
        </w:tc>
        <w:tc>
          <w:tcPr>
            <w:tcW w:w="1236" w:type="dxa"/>
            <w:tcBorders>
              <w:top w:val="nil"/>
              <w:left w:val="single" w:sz="8" w:space="0" w:color="auto"/>
              <w:bottom w:val="nil"/>
              <w:right w:val="single" w:sz="8" w:space="0" w:color="auto"/>
            </w:tcBorders>
            <w:shd w:val="clear" w:color="auto" w:fill="auto"/>
            <w:noWrap/>
            <w:vAlign w:val="center"/>
            <w:hideMark/>
          </w:tcPr>
          <w:p w:rsidR="007D2221" w:rsidRPr="0021023F" w:rsidRDefault="007D2221" w:rsidP="007D2221">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9.4</w:t>
            </w:r>
          </w:p>
        </w:tc>
      </w:tr>
      <w:tr w:rsidR="003669DE" w:rsidRPr="0021023F" w:rsidTr="00A57EF4">
        <w:trPr>
          <w:trHeight w:val="270"/>
        </w:trPr>
        <w:tc>
          <w:tcPr>
            <w:tcW w:w="2249" w:type="dxa"/>
            <w:tcBorders>
              <w:top w:val="nil"/>
              <w:left w:val="single" w:sz="8" w:space="0" w:color="auto"/>
              <w:bottom w:val="nil"/>
              <w:right w:val="nil"/>
            </w:tcBorders>
            <w:shd w:val="clear" w:color="auto" w:fill="auto"/>
            <w:noWrap/>
            <w:vAlign w:val="center"/>
            <w:hideMark/>
          </w:tcPr>
          <w:p w:rsidR="007D2221" w:rsidRPr="0021023F" w:rsidRDefault="007D2221" w:rsidP="007D2221">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Retail Trade</w:t>
            </w:r>
          </w:p>
        </w:tc>
        <w:tc>
          <w:tcPr>
            <w:tcW w:w="1726" w:type="dxa"/>
            <w:tcBorders>
              <w:top w:val="nil"/>
              <w:left w:val="single" w:sz="8" w:space="0" w:color="auto"/>
              <w:bottom w:val="nil"/>
              <w:right w:val="single" w:sz="8" w:space="0" w:color="auto"/>
            </w:tcBorders>
            <w:shd w:val="clear" w:color="auto" w:fill="auto"/>
            <w:vAlign w:val="center"/>
            <w:hideMark/>
          </w:tcPr>
          <w:p w:rsidR="007D2221" w:rsidRPr="0021023F" w:rsidRDefault="007D2221" w:rsidP="007D2221">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3,633,681,810</w:t>
            </w:r>
          </w:p>
        </w:tc>
        <w:tc>
          <w:tcPr>
            <w:tcW w:w="1026" w:type="dxa"/>
            <w:tcBorders>
              <w:top w:val="nil"/>
              <w:left w:val="nil"/>
              <w:bottom w:val="nil"/>
              <w:right w:val="nil"/>
            </w:tcBorders>
            <w:shd w:val="clear" w:color="auto" w:fill="auto"/>
            <w:noWrap/>
            <w:vAlign w:val="center"/>
            <w:hideMark/>
          </w:tcPr>
          <w:p w:rsidR="007D2221" w:rsidRPr="0021023F" w:rsidRDefault="007D2221" w:rsidP="003669DE">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31.</w:t>
            </w:r>
            <w:r w:rsidR="003669DE" w:rsidRPr="0021023F">
              <w:rPr>
                <w:rFonts w:ascii="Tahoma" w:eastAsia="Times New Roman" w:hAnsi="Tahoma" w:cs="Tahoma"/>
                <w:color w:val="000000"/>
                <w:sz w:val="20"/>
                <w:szCs w:val="20"/>
              </w:rPr>
              <w:t>9</w:t>
            </w:r>
          </w:p>
        </w:tc>
        <w:tc>
          <w:tcPr>
            <w:tcW w:w="1344" w:type="dxa"/>
            <w:tcBorders>
              <w:top w:val="nil"/>
              <w:left w:val="single" w:sz="8" w:space="0" w:color="auto"/>
              <w:bottom w:val="nil"/>
              <w:right w:val="single" w:sz="8" w:space="0" w:color="auto"/>
            </w:tcBorders>
            <w:shd w:val="clear" w:color="auto" w:fill="auto"/>
            <w:noWrap/>
            <w:vAlign w:val="center"/>
            <w:hideMark/>
          </w:tcPr>
          <w:p w:rsidR="007D2221" w:rsidRPr="0021023F" w:rsidRDefault="007D2221" w:rsidP="003669DE">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38.4</w:t>
            </w:r>
          </w:p>
        </w:tc>
        <w:tc>
          <w:tcPr>
            <w:tcW w:w="1254" w:type="dxa"/>
            <w:tcBorders>
              <w:top w:val="nil"/>
              <w:left w:val="nil"/>
              <w:bottom w:val="nil"/>
              <w:right w:val="nil"/>
            </w:tcBorders>
            <w:shd w:val="clear" w:color="auto" w:fill="auto"/>
            <w:noWrap/>
            <w:vAlign w:val="center"/>
            <w:hideMark/>
          </w:tcPr>
          <w:p w:rsidR="007D2221" w:rsidRPr="0021023F" w:rsidRDefault="007D2221" w:rsidP="007D2221">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2.9</w:t>
            </w:r>
          </w:p>
        </w:tc>
        <w:tc>
          <w:tcPr>
            <w:tcW w:w="1236" w:type="dxa"/>
            <w:tcBorders>
              <w:top w:val="nil"/>
              <w:left w:val="single" w:sz="8" w:space="0" w:color="auto"/>
              <w:bottom w:val="nil"/>
              <w:right w:val="single" w:sz="8" w:space="0" w:color="auto"/>
            </w:tcBorders>
            <w:shd w:val="clear" w:color="auto" w:fill="auto"/>
            <w:noWrap/>
            <w:vAlign w:val="center"/>
            <w:hideMark/>
          </w:tcPr>
          <w:p w:rsidR="007D2221" w:rsidRPr="0021023F" w:rsidRDefault="007D2221" w:rsidP="003669DE">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4.</w:t>
            </w:r>
            <w:r w:rsidR="003669DE" w:rsidRPr="0021023F">
              <w:rPr>
                <w:rFonts w:ascii="Tahoma" w:eastAsia="Times New Roman" w:hAnsi="Tahoma" w:cs="Tahoma"/>
                <w:color w:val="000000"/>
                <w:sz w:val="20"/>
                <w:szCs w:val="20"/>
              </w:rPr>
              <w:t>4</w:t>
            </w:r>
          </w:p>
        </w:tc>
      </w:tr>
      <w:tr w:rsidR="003669DE" w:rsidRPr="0021023F" w:rsidTr="003669DE">
        <w:trPr>
          <w:trHeight w:val="80"/>
        </w:trPr>
        <w:tc>
          <w:tcPr>
            <w:tcW w:w="2249" w:type="dxa"/>
            <w:tcBorders>
              <w:top w:val="nil"/>
              <w:left w:val="single" w:sz="8" w:space="0" w:color="auto"/>
              <w:bottom w:val="single" w:sz="8" w:space="0" w:color="auto"/>
              <w:right w:val="nil"/>
            </w:tcBorders>
            <w:shd w:val="clear" w:color="auto" w:fill="auto"/>
            <w:noWrap/>
            <w:vAlign w:val="center"/>
            <w:hideMark/>
          </w:tcPr>
          <w:p w:rsidR="007D2221" w:rsidRPr="0021023F" w:rsidRDefault="007D2221" w:rsidP="007D2221">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Accom./Food Service</w:t>
            </w:r>
          </w:p>
        </w:tc>
        <w:tc>
          <w:tcPr>
            <w:tcW w:w="1726" w:type="dxa"/>
            <w:tcBorders>
              <w:top w:val="nil"/>
              <w:left w:val="single" w:sz="8" w:space="0" w:color="auto"/>
              <w:bottom w:val="single" w:sz="8" w:space="0" w:color="auto"/>
              <w:right w:val="single" w:sz="8" w:space="0" w:color="auto"/>
            </w:tcBorders>
            <w:shd w:val="clear" w:color="auto" w:fill="auto"/>
            <w:vAlign w:val="center"/>
            <w:hideMark/>
          </w:tcPr>
          <w:p w:rsidR="007D2221" w:rsidRPr="0021023F" w:rsidRDefault="007D2221" w:rsidP="007D2221">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448,311,485</w:t>
            </w:r>
          </w:p>
        </w:tc>
        <w:tc>
          <w:tcPr>
            <w:tcW w:w="1026" w:type="dxa"/>
            <w:tcBorders>
              <w:top w:val="nil"/>
              <w:left w:val="nil"/>
              <w:bottom w:val="single" w:sz="8" w:space="0" w:color="auto"/>
              <w:right w:val="nil"/>
            </w:tcBorders>
            <w:shd w:val="clear" w:color="auto" w:fill="auto"/>
            <w:noWrap/>
            <w:vAlign w:val="center"/>
            <w:hideMark/>
          </w:tcPr>
          <w:p w:rsidR="007D2221" w:rsidRPr="0021023F" w:rsidRDefault="003669DE" w:rsidP="007D2221">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3.9</w:t>
            </w:r>
          </w:p>
        </w:tc>
        <w:tc>
          <w:tcPr>
            <w:tcW w:w="1344" w:type="dxa"/>
            <w:tcBorders>
              <w:top w:val="nil"/>
              <w:left w:val="single" w:sz="8" w:space="0" w:color="auto"/>
              <w:bottom w:val="single" w:sz="8" w:space="0" w:color="auto"/>
              <w:right w:val="single" w:sz="8" w:space="0" w:color="auto"/>
            </w:tcBorders>
            <w:shd w:val="clear" w:color="auto" w:fill="auto"/>
            <w:noWrap/>
            <w:vAlign w:val="center"/>
            <w:hideMark/>
          </w:tcPr>
          <w:p w:rsidR="007D2221" w:rsidRPr="0021023F" w:rsidRDefault="007D2221" w:rsidP="007D2221">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87.8</w:t>
            </w:r>
          </w:p>
        </w:tc>
        <w:tc>
          <w:tcPr>
            <w:tcW w:w="1254" w:type="dxa"/>
            <w:tcBorders>
              <w:top w:val="nil"/>
              <w:left w:val="nil"/>
              <w:bottom w:val="single" w:sz="8" w:space="0" w:color="auto"/>
              <w:right w:val="nil"/>
            </w:tcBorders>
            <w:shd w:val="clear" w:color="auto" w:fill="auto"/>
            <w:noWrap/>
            <w:vAlign w:val="center"/>
            <w:hideMark/>
          </w:tcPr>
          <w:p w:rsidR="007D2221" w:rsidRPr="0021023F" w:rsidRDefault="007D2221" w:rsidP="003669DE">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7.</w:t>
            </w:r>
            <w:r w:rsidR="003669DE" w:rsidRPr="0021023F">
              <w:rPr>
                <w:rFonts w:ascii="Tahoma" w:eastAsia="Times New Roman" w:hAnsi="Tahoma" w:cs="Tahoma"/>
                <w:color w:val="000000"/>
                <w:sz w:val="20"/>
                <w:szCs w:val="20"/>
              </w:rPr>
              <w:t>1</w:t>
            </w:r>
          </w:p>
        </w:tc>
        <w:tc>
          <w:tcPr>
            <w:tcW w:w="1236" w:type="dxa"/>
            <w:tcBorders>
              <w:top w:val="nil"/>
              <w:left w:val="single" w:sz="8" w:space="0" w:color="auto"/>
              <w:bottom w:val="single" w:sz="8" w:space="0" w:color="auto"/>
              <w:right w:val="single" w:sz="8" w:space="0" w:color="auto"/>
            </w:tcBorders>
            <w:shd w:val="clear" w:color="auto" w:fill="auto"/>
            <w:noWrap/>
            <w:vAlign w:val="center"/>
            <w:hideMark/>
          </w:tcPr>
          <w:p w:rsidR="007D2221" w:rsidRPr="0021023F" w:rsidRDefault="007D2221" w:rsidP="007D2221">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7.1</w:t>
            </w:r>
          </w:p>
        </w:tc>
      </w:tr>
    </w:tbl>
    <w:p w:rsidR="0021023F" w:rsidRDefault="007D2221" w:rsidP="007D2221">
      <w:pPr>
        <w:tabs>
          <w:tab w:val="left" w:pos="0"/>
        </w:tabs>
        <w:spacing w:after="0" w:line="240" w:lineRule="auto"/>
        <w:rPr>
          <w:rFonts w:ascii="Tahoma" w:hAnsi="Tahoma" w:cs="Tahoma"/>
          <w:sz w:val="18"/>
          <w:szCs w:val="18"/>
        </w:rPr>
      </w:pPr>
      <w:r w:rsidRPr="003669DE">
        <w:rPr>
          <w:rFonts w:ascii="Tahoma" w:hAnsi="Tahoma" w:cs="Tahoma"/>
          <w:sz w:val="18"/>
          <w:szCs w:val="18"/>
        </w:rPr>
        <w:t>Source: Texas Comptroller of Public Accounts</w:t>
      </w:r>
    </w:p>
    <w:p w:rsidR="006D545C" w:rsidRPr="003669DE" w:rsidRDefault="00ED0CC7" w:rsidP="007D2221">
      <w:pPr>
        <w:tabs>
          <w:tab w:val="left" w:pos="0"/>
        </w:tabs>
        <w:spacing w:after="0" w:line="240" w:lineRule="auto"/>
        <w:rPr>
          <w:rFonts w:ascii="Tahoma" w:hAnsi="Tahoma" w:cs="Tahoma"/>
          <w:sz w:val="18"/>
          <w:szCs w:val="18"/>
        </w:rPr>
      </w:pPr>
      <w:r w:rsidRPr="003669DE">
        <w:rPr>
          <w:rFonts w:ascii="Tahoma" w:hAnsi="Tahoma" w:cs="Tahoma"/>
          <w:sz w:val="18"/>
          <w:szCs w:val="18"/>
        </w:rPr>
        <w:tab/>
      </w:r>
    </w:p>
    <w:p w:rsidR="00A57EF4" w:rsidRPr="00A57EF4" w:rsidRDefault="00A57EF4" w:rsidP="00180485">
      <w:pPr>
        <w:tabs>
          <w:tab w:val="left" w:pos="0"/>
        </w:tabs>
        <w:spacing w:after="0" w:line="240" w:lineRule="auto"/>
        <w:jc w:val="center"/>
        <w:rPr>
          <w:rFonts w:ascii="Tahoma" w:hAnsi="Tahoma" w:cs="Tahoma"/>
          <w:sz w:val="16"/>
          <w:szCs w:val="16"/>
        </w:rPr>
      </w:pPr>
    </w:p>
    <w:p w:rsidR="006D545C" w:rsidRPr="003669DE" w:rsidRDefault="00180485" w:rsidP="00180485">
      <w:pPr>
        <w:tabs>
          <w:tab w:val="left" w:pos="0"/>
        </w:tabs>
        <w:spacing w:after="0" w:line="240" w:lineRule="auto"/>
        <w:jc w:val="center"/>
        <w:rPr>
          <w:rFonts w:ascii="Tahoma" w:hAnsi="Tahoma" w:cs="Tahoma"/>
        </w:rPr>
      </w:pPr>
      <w:r w:rsidRPr="003669DE">
        <w:rPr>
          <w:rFonts w:ascii="Tahoma" w:hAnsi="Tahoma" w:cs="Tahoma"/>
        </w:rPr>
        <w:t>Table 7</w:t>
      </w:r>
    </w:p>
    <w:p w:rsidR="00180485" w:rsidRPr="003669DE" w:rsidRDefault="00180485" w:rsidP="00180485">
      <w:pPr>
        <w:tabs>
          <w:tab w:val="left" w:pos="0"/>
        </w:tabs>
        <w:spacing w:after="0" w:line="240" w:lineRule="auto"/>
        <w:jc w:val="center"/>
        <w:rPr>
          <w:rFonts w:ascii="Tahoma" w:hAnsi="Tahoma" w:cs="Tahoma"/>
        </w:rPr>
      </w:pPr>
      <w:r w:rsidRPr="003669DE">
        <w:rPr>
          <w:rFonts w:ascii="Tahoma" w:hAnsi="Tahoma" w:cs="Tahoma"/>
        </w:rPr>
        <w:t>July 2015 Year</w:t>
      </w:r>
      <w:r w:rsidR="009833F9" w:rsidRPr="003669DE">
        <w:rPr>
          <w:rFonts w:ascii="Tahoma" w:hAnsi="Tahoma" w:cs="Tahoma"/>
        </w:rPr>
        <w:t>-to-d</w:t>
      </w:r>
      <w:r w:rsidRPr="003669DE">
        <w:rPr>
          <w:rFonts w:ascii="Tahoma" w:hAnsi="Tahoma" w:cs="Tahoma"/>
        </w:rPr>
        <w:t xml:space="preserve">ate Sales Tax Rebates by McLennan </w:t>
      </w:r>
      <w:r w:rsidR="009833F9" w:rsidRPr="003669DE">
        <w:rPr>
          <w:rFonts w:ascii="Tahoma" w:hAnsi="Tahoma" w:cs="Tahoma"/>
        </w:rPr>
        <w:t>and</w:t>
      </w:r>
    </w:p>
    <w:p w:rsidR="00180485" w:rsidRDefault="00180485" w:rsidP="00180485">
      <w:pPr>
        <w:tabs>
          <w:tab w:val="left" w:pos="0"/>
        </w:tabs>
        <w:spacing w:after="120" w:line="240" w:lineRule="auto"/>
        <w:jc w:val="center"/>
        <w:rPr>
          <w:rFonts w:ascii="Tahoma" w:hAnsi="Tahoma" w:cs="Tahoma"/>
        </w:rPr>
      </w:pPr>
      <w:r w:rsidRPr="003669DE">
        <w:rPr>
          <w:rFonts w:ascii="Tahoma" w:hAnsi="Tahoma" w:cs="Tahoma"/>
        </w:rPr>
        <w:t>Falls County Jurisdictions</w:t>
      </w:r>
      <w:r w:rsidR="009833F9" w:rsidRPr="003669DE">
        <w:rPr>
          <w:rFonts w:ascii="Tahoma" w:hAnsi="Tahoma" w:cs="Tahoma"/>
        </w:rPr>
        <w:t xml:space="preserve"> in Waco MSA</w:t>
      </w:r>
    </w:p>
    <w:tbl>
      <w:tblPr>
        <w:tblW w:w="8835" w:type="dxa"/>
        <w:tblInd w:w="93" w:type="dxa"/>
        <w:tblLayout w:type="fixed"/>
        <w:tblLook w:val="04A0" w:firstRow="1" w:lastRow="0" w:firstColumn="1" w:lastColumn="0" w:noHBand="0" w:noVBand="1"/>
      </w:tblPr>
      <w:tblGrid>
        <w:gridCol w:w="2625"/>
        <w:gridCol w:w="990"/>
        <w:gridCol w:w="1980"/>
        <w:gridCol w:w="1710"/>
        <w:gridCol w:w="1530"/>
      </w:tblGrid>
      <w:tr w:rsidR="0021023F" w:rsidRPr="0021023F" w:rsidTr="0021023F">
        <w:trPr>
          <w:trHeight w:val="240"/>
        </w:trPr>
        <w:tc>
          <w:tcPr>
            <w:tcW w:w="26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023F" w:rsidRPr="0021023F" w:rsidRDefault="0021023F" w:rsidP="0021023F">
            <w:pPr>
              <w:spacing w:after="0" w:line="240" w:lineRule="auto"/>
              <w:jc w:val="center"/>
              <w:rPr>
                <w:rFonts w:ascii="Tahoma" w:eastAsia="Times New Roman" w:hAnsi="Tahoma" w:cs="Tahoma"/>
                <w:color w:val="000000"/>
                <w:sz w:val="20"/>
                <w:szCs w:val="20"/>
              </w:rPr>
            </w:pPr>
            <w:r w:rsidRPr="0021023F">
              <w:rPr>
                <w:rFonts w:ascii="Tahoma" w:eastAsia="Times New Roman" w:hAnsi="Tahoma" w:cs="Tahoma"/>
                <w:color w:val="000000"/>
                <w:sz w:val="20"/>
                <w:szCs w:val="20"/>
              </w:rPr>
              <w:t>City/ County</w:t>
            </w:r>
          </w:p>
        </w:tc>
        <w:tc>
          <w:tcPr>
            <w:tcW w:w="990" w:type="dxa"/>
            <w:tcBorders>
              <w:top w:val="single" w:sz="8" w:space="0" w:color="auto"/>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center"/>
              <w:rPr>
                <w:rFonts w:ascii="Tahoma" w:eastAsia="Times New Roman" w:hAnsi="Tahoma" w:cs="Tahoma"/>
                <w:color w:val="000000"/>
                <w:sz w:val="20"/>
                <w:szCs w:val="20"/>
              </w:rPr>
            </w:pPr>
            <w:r w:rsidRPr="0021023F">
              <w:rPr>
                <w:rFonts w:ascii="Tahoma" w:eastAsia="Times New Roman" w:hAnsi="Tahoma" w:cs="Tahoma"/>
                <w:color w:val="000000"/>
                <w:sz w:val="20"/>
                <w:szCs w:val="20"/>
              </w:rPr>
              <w:t>Current</w:t>
            </w:r>
          </w:p>
        </w:tc>
        <w:tc>
          <w:tcPr>
            <w:tcW w:w="1980" w:type="dxa"/>
            <w:tcBorders>
              <w:top w:val="single" w:sz="8" w:space="0" w:color="auto"/>
              <w:left w:val="nil"/>
              <w:bottom w:val="nil"/>
              <w:right w:val="nil"/>
            </w:tcBorders>
            <w:shd w:val="clear" w:color="auto" w:fill="auto"/>
            <w:vAlign w:val="center"/>
            <w:hideMark/>
          </w:tcPr>
          <w:p w:rsidR="0021023F" w:rsidRPr="0021023F" w:rsidRDefault="0021023F" w:rsidP="0021023F">
            <w:pPr>
              <w:spacing w:after="0" w:line="240" w:lineRule="auto"/>
              <w:jc w:val="center"/>
              <w:rPr>
                <w:rFonts w:ascii="Tahoma" w:eastAsia="Times New Roman" w:hAnsi="Tahoma" w:cs="Tahoma"/>
                <w:color w:val="000000"/>
                <w:sz w:val="20"/>
                <w:szCs w:val="20"/>
              </w:rPr>
            </w:pPr>
            <w:r w:rsidRPr="0021023F">
              <w:rPr>
                <w:rFonts w:ascii="Tahoma" w:eastAsia="Times New Roman" w:hAnsi="Tahoma" w:cs="Tahoma"/>
                <w:color w:val="000000"/>
                <w:sz w:val="20"/>
                <w:szCs w:val="20"/>
              </w:rPr>
              <w:t>2015 Payments</w:t>
            </w:r>
          </w:p>
        </w:tc>
        <w:tc>
          <w:tcPr>
            <w:tcW w:w="1710" w:type="dxa"/>
            <w:tcBorders>
              <w:top w:val="single" w:sz="8" w:space="0" w:color="auto"/>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center"/>
              <w:rPr>
                <w:rFonts w:ascii="Tahoma" w:eastAsia="Times New Roman" w:hAnsi="Tahoma" w:cs="Tahoma"/>
                <w:color w:val="000000"/>
                <w:sz w:val="20"/>
                <w:szCs w:val="20"/>
              </w:rPr>
            </w:pPr>
            <w:r w:rsidRPr="0021023F">
              <w:rPr>
                <w:rFonts w:ascii="Tahoma" w:eastAsia="Times New Roman" w:hAnsi="Tahoma" w:cs="Tahoma"/>
                <w:color w:val="000000"/>
                <w:sz w:val="20"/>
                <w:szCs w:val="20"/>
              </w:rPr>
              <w:t>2014 Payments</w:t>
            </w:r>
          </w:p>
        </w:tc>
        <w:tc>
          <w:tcPr>
            <w:tcW w:w="1530" w:type="dxa"/>
            <w:vMerge w:val="restart"/>
            <w:tcBorders>
              <w:top w:val="single" w:sz="8" w:space="0" w:color="auto"/>
              <w:left w:val="nil"/>
              <w:bottom w:val="single" w:sz="8" w:space="0" w:color="000000"/>
              <w:right w:val="single" w:sz="8" w:space="0" w:color="auto"/>
            </w:tcBorders>
            <w:shd w:val="clear" w:color="auto" w:fill="auto"/>
            <w:vAlign w:val="center"/>
            <w:hideMark/>
          </w:tcPr>
          <w:p w:rsidR="0021023F" w:rsidRPr="0021023F" w:rsidRDefault="0021023F" w:rsidP="0021023F">
            <w:pPr>
              <w:spacing w:after="0" w:line="240" w:lineRule="auto"/>
              <w:jc w:val="center"/>
              <w:rPr>
                <w:rFonts w:ascii="Tahoma" w:eastAsia="Times New Roman" w:hAnsi="Tahoma" w:cs="Tahoma"/>
                <w:color w:val="000000"/>
                <w:sz w:val="20"/>
                <w:szCs w:val="20"/>
              </w:rPr>
            </w:pPr>
            <w:r w:rsidRPr="0021023F">
              <w:rPr>
                <w:rFonts w:ascii="Tahoma" w:eastAsia="Times New Roman" w:hAnsi="Tahoma" w:cs="Tahoma"/>
                <w:color w:val="000000"/>
                <w:sz w:val="20"/>
                <w:szCs w:val="20"/>
              </w:rPr>
              <w:t>Annual % Change</w:t>
            </w:r>
          </w:p>
        </w:tc>
      </w:tr>
      <w:tr w:rsidR="0021023F" w:rsidRPr="0021023F" w:rsidTr="0021023F">
        <w:trPr>
          <w:trHeight w:val="295"/>
        </w:trPr>
        <w:tc>
          <w:tcPr>
            <w:tcW w:w="2625" w:type="dxa"/>
            <w:vMerge/>
            <w:tcBorders>
              <w:top w:val="single" w:sz="8" w:space="0" w:color="auto"/>
              <w:left w:val="single" w:sz="8" w:space="0" w:color="auto"/>
              <w:bottom w:val="single" w:sz="8" w:space="0" w:color="000000"/>
              <w:right w:val="single" w:sz="8" w:space="0" w:color="auto"/>
            </w:tcBorders>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p>
        </w:tc>
        <w:tc>
          <w:tcPr>
            <w:tcW w:w="990" w:type="dxa"/>
            <w:tcBorders>
              <w:top w:val="nil"/>
              <w:left w:val="nil"/>
              <w:bottom w:val="single" w:sz="8" w:space="0" w:color="auto"/>
              <w:right w:val="single" w:sz="8" w:space="0" w:color="auto"/>
            </w:tcBorders>
            <w:shd w:val="clear" w:color="auto" w:fill="auto"/>
            <w:vAlign w:val="center"/>
            <w:hideMark/>
          </w:tcPr>
          <w:p w:rsidR="0021023F" w:rsidRPr="0021023F" w:rsidRDefault="0021023F" w:rsidP="0021023F">
            <w:pPr>
              <w:spacing w:after="0" w:line="240" w:lineRule="auto"/>
              <w:jc w:val="center"/>
              <w:rPr>
                <w:rFonts w:ascii="Tahoma" w:eastAsia="Times New Roman" w:hAnsi="Tahoma" w:cs="Tahoma"/>
                <w:color w:val="000000"/>
                <w:sz w:val="20"/>
                <w:szCs w:val="20"/>
              </w:rPr>
            </w:pPr>
            <w:r w:rsidRPr="0021023F">
              <w:rPr>
                <w:rFonts w:ascii="Tahoma" w:eastAsia="Times New Roman" w:hAnsi="Tahoma" w:cs="Tahoma"/>
                <w:color w:val="000000"/>
                <w:sz w:val="20"/>
                <w:szCs w:val="20"/>
              </w:rPr>
              <w:t>Rate</w:t>
            </w:r>
          </w:p>
        </w:tc>
        <w:tc>
          <w:tcPr>
            <w:tcW w:w="1980" w:type="dxa"/>
            <w:tcBorders>
              <w:top w:val="nil"/>
              <w:left w:val="nil"/>
              <w:bottom w:val="single" w:sz="8" w:space="0" w:color="auto"/>
              <w:right w:val="nil"/>
            </w:tcBorders>
            <w:shd w:val="clear" w:color="auto" w:fill="auto"/>
            <w:vAlign w:val="center"/>
            <w:hideMark/>
          </w:tcPr>
          <w:p w:rsidR="0021023F" w:rsidRPr="0021023F" w:rsidRDefault="0021023F" w:rsidP="0021023F">
            <w:pPr>
              <w:spacing w:after="0" w:line="240" w:lineRule="auto"/>
              <w:jc w:val="center"/>
              <w:rPr>
                <w:rFonts w:ascii="Tahoma" w:eastAsia="Times New Roman" w:hAnsi="Tahoma" w:cs="Tahoma"/>
                <w:color w:val="000000"/>
                <w:sz w:val="20"/>
                <w:szCs w:val="20"/>
              </w:rPr>
            </w:pPr>
            <w:r w:rsidRPr="0021023F">
              <w:rPr>
                <w:rFonts w:ascii="Tahoma" w:eastAsia="Times New Roman" w:hAnsi="Tahoma" w:cs="Tahoma"/>
                <w:color w:val="000000"/>
                <w:sz w:val="20"/>
                <w:szCs w:val="20"/>
              </w:rPr>
              <w:t>To Date</w:t>
            </w:r>
          </w:p>
        </w:tc>
        <w:tc>
          <w:tcPr>
            <w:tcW w:w="1710" w:type="dxa"/>
            <w:tcBorders>
              <w:top w:val="nil"/>
              <w:left w:val="single" w:sz="8" w:space="0" w:color="auto"/>
              <w:bottom w:val="single" w:sz="8" w:space="0" w:color="auto"/>
              <w:right w:val="single" w:sz="8" w:space="0" w:color="auto"/>
            </w:tcBorders>
            <w:shd w:val="clear" w:color="auto" w:fill="auto"/>
            <w:vAlign w:val="center"/>
            <w:hideMark/>
          </w:tcPr>
          <w:p w:rsidR="0021023F" w:rsidRPr="0021023F" w:rsidRDefault="0021023F" w:rsidP="0021023F">
            <w:pPr>
              <w:spacing w:after="0" w:line="240" w:lineRule="auto"/>
              <w:jc w:val="center"/>
              <w:rPr>
                <w:rFonts w:ascii="Tahoma" w:eastAsia="Times New Roman" w:hAnsi="Tahoma" w:cs="Tahoma"/>
                <w:color w:val="000000"/>
                <w:sz w:val="20"/>
                <w:szCs w:val="20"/>
              </w:rPr>
            </w:pPr>
            <w:r w:rsidRPr="0021023F">
              <w:rPr>
                <w:rFonts w:ascii="Tahoma" w:eastAsia="Times New Roman" w:hAnsi="Tahoma" w:cs="Tahoma"/>
                <w:color w:val="000000"/>
                <w:sz w:val="20"/>
                <w:szCs w:val="20"/>
              </w:rPr>
              <w:t>To Date</w:t>
            </w:r>
          </w:p>
        </w:tc>
        <w:tc>
          <w:tcPr>
            <w:tcW w:w="1530" w:type="dxa"/>
            <w:vMerge/>
            <w:tcBorders>
              <w:top w:val="single" w:sz="8" w:space="0" w:color="auto"/>
              <w:left w:val="nil"/>
              <w:bottom w:val="single" w:sz="8" w:space="0" w:color="000000"/>
              <w:right w:val="single" w:sz="8" w:space="0" w:color="auto"/>
            </w:tcBorders>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Bellmead</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1.50%</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$1,987,497</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$1,905,717</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4.3%</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Beverly Hills</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1.50%</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$305,436</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$289,133</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5.6%</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Bruceville Eddy</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1.00%</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$42,052</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$38,254</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9.9%</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Crawford</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1.50%</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$29,411</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$28,415</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3.5%</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Gholson</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1.50%</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$19,486</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$18,839</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3.4%</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Hallsburg</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1.00%</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$3,414</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$5,850</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-41.6%</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Hewitt</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1.50%</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$920,386</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$897,660</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2.5%</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Lacy Lakeview</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1.50%</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$684,426</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$668,834</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2.3%</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Leroy</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1.00%</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$2,820</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$2,152</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31.0%</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Lorena</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1.50%</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$171,979</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$164,988</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4.2%</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Mart</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1.25%</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$66,683</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$66,222</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0.7%</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McGregor</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1.50%</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$708,458</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$567,615</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24.8%</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Moody</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1.50%</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$53,493</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$50,747</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541.0%</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Riesel</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1.25%</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$25,671</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$31,042</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-17.3%</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Robinson</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1.50%</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$711,428</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$700,284</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1.6%</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Ross</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1.00%</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$15,481</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$23,203</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-33.3%</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Waco</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1.50%</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$20,548,885</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$19,397,628</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5.9%</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West</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1.50%</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$317,210</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$300,594</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5.5%</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Woodway</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1.50%</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$1,339,354</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$1,238,275</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8.2%</w:t>
            </w:r>
          </w:p>
        </w:tc>
      </w:tr>
      <w:tr w:rsidR="0021023F" w:rsidRPr="0021023F" w:rsidTr="0021023F">
        <w:trPr>
          <w:trHeight w:val="333"/>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McLennan County Total</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 </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$27,953,573</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$26,395,452</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5.9%</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Golinda</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1.50%</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$7,337</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$45,858</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-84.0%</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Lott</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1.50%</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$35,431</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$36,050</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-1.7%</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Marlin</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1.50%</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$404,815</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$401,719</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0.8%</w:t>
            </w:r>
          </w:p>
        </w:tc>
      </w:tr>
      <w:tr w:rsidR="0021023F" w:rsidRPr="0021023F" w:rsidTr="0021023F">
        <w:trPr>
          <w:trHeight w:val="240"/>
        </w:trPr>
        <w:tc>
          <w:tcPr>
            <w:tcW w:w="2625" w:type="dxa"/>
            <w:tcBorders>
              <w:top w:val="nil"/>
              <w:left w:val="single" w:sz="8" w:space="0" w:color="auto"/>
              <w:bottom w:val="nil"/>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Rosebud</w:t>
            </w:r>
          </w:p>
        </w:tc>
        <w:tc>
          <w:tcPr>
            <w:tcW w:w="99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1.50%</w:t>
            </w:r>
          </w:p>
        </w:tc>
        <w:tc>
          <w:tcPr>
            <w:tcW w:w="1980" w:type="dxa"/>
            <w:tcBorders>
              <w:top w:val="nil"/>
              <w:left w:val="nil"/>
              <w:bottom w:val="nil"/>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$76,239</w:t>
            </w:r>
          </w:p>
        </w:tc>
        <w:tc>
          <w:tcPr>
            <w:tcW w:w="1710" w:type="dxa"/>
            <w:tcBorders>
              <w:top w:val="nil"/>
              <w:left w:val="single" w:sz="8" w:space="0" w:color="auto"/>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$73,256</w:t>
            </w:r>
          </w:p>
        </w:tc>
        <w:tc>
          <w:tcPr>
            <w:tcW w:w="1530" w:type="dxa"/>
            <w:tcBorders>
              <w:top w:val="nil"/>
              <w:left w:val="nil"/>
              <w:bottom w:val="nil"/>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4.1%</w:t>
            </w:r>
          </w:p>
        </w:tc>
      </w:tr>
      <w:tr w:rsidR="0021023F" w:rsidRPr="0021023F" w:rsidTr="0021023F">
        <w:trPr>
          <w:trHeight w:val="306"/>
        </w:trPr>
        <w:tc>
          <w:tcPr>
            <w:tcW w:w="2625" w:type="dxa"/>
            <w:tcBorders>
              <w:top w:val="nil"/>
              <w:left w:val="single" w:sz="8" w:space="0" w:color="auto"/>
              <w:bottom w:val="single" w:sz="8" w:space="0" w:color="auto"/>
              <w:right w:val="nil"/>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 xml:space="preserve">        Falls County Total</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21023F" w:rsidRPr="0021023F" w:rsidRDefault="0021023F" w:rsidP="0021023F">
            <w:pPr>
              <w:spacing w:after="0" w:line="240" w:lineRule="auto"/>
              <w:rPr>
                <w:rFonts w:ascii="Tahoma" w:eastAsia="Times New Roman" w:hAnsi="Tahoma" w:cs="Tahoma"/>
                <w:color w:val="000000"/>
                <w:sz w:val="20"/>
                <w:szCs w:val="20"/>
              </w:rPr>
            </w:pPr>
            <w:r w:rsidRPr="0021023F">
              <w:rPr>
                <w:rFonts w:ascii="Tahoma" w:eastAsia="Times New Roman" w:hAnsi="Tahoma" w:cs="Tahoma"/>
                <w:color w:val="000000"/>
                <w:sz w:val="20"/>
                <w:szCs w:val="20"/>
              </w:rPr>
              <w:t> </w:t>
            </w:r>
          </w:p>
        </w:tc>
        <w:tc>
          <w:tcPr>
            <w:tcW w:w="1980" w:type="dxa"/>
            <w:tcBorders>
              <w:top w:val="nil"/>
              <w:left w:val="nil"/>
              <w:bottom w:val="single" w:sz="8" w:space="0" w:color="auto"/>
              <w:right w:val="nil"/>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$523,821</w:t>
            </w:r>
          </w:p>
        </w:tc>
        <w:tc>
          <w:tcPr>
            <w:tcW w:w="1710" w:type="dxa"/>
            <w:tcBorders>
              <w:top w:val="nil"/>
              <w:left w:val="single" w:sz="8" w:space="0" w:color="auto"/>
              <w:bottom w:val="single" w:sz="8" w:space="0" w:color="auto"/>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$556,883</w:t>
            </w:r>
          </w:p>
        </w:tc>
        <w:tc>
          <w:tcPr>
            <w:tcW w:w="1530" w:type="dxa"/>
            <w:tcBorders>
              <w:top w:val="nil"/>
              <w:left w:val="nil"/>
              <w:bottom w:val="single" w:sz="8" w:space="0" w:color="auto"/>
              <w:right w:val="single" w:sz="8" w:space="0" w:color="auto"/>
            </w:tcBorders>
            <w:shd w:val="clear" w:color="auto" w:fill="auto"/>
            <w:vAlign w:val="center"/>
            <w:hideMark/>
          </w:tcPr>
          <w:p w:rsidR="0021023F" w:rsidRPr="0021023F" w:rsidRDefault="0021023F" w:rsidP="0021023F">
            <w:pPr>
              <w:spacing w:after="0" w:line="240" w:lineRule="auto"/>
              <w:jc w:val="right"/>
              <w:rPr>
                <w:rFonts w:ascii="Tahoma" w:eastAsia="Times New Roman" w:hAnsi="Tahoma" w:cs="Tahoma"/>
                <w:color w:val="000000"/>
                <w:sz w:val="20"/>
                <w:szCs w:val="20"/>
              </w:rPr>
            </w:pPr>
            <w:r w:rsidRPr="0021023F">
              <w:rPr>
                <w:rFonts w:ascii="Tahoma" w:eastAsia="Times New Roman" w:hAnsi="Tahoma" w:cs="Tahoma"/>
                <w:color w:val="000000"/>
                <w:sz w:val="20"/>
                <w:szCs w:val="20"/>
              </w:rPr>
              <w:t>-5.9%</w:t>
            </w:r>
          </w:p>
        </w:tc>
      </w:tr>
    </w:tbl>
    <w:p w:rsidR="0021023F" w:rsidRPr="0021023F" w:rsidRDefault="0021023F" w:rsidP="0021023F">
      <w:pPr>
        <w:tabs>
          <w:tab w:val="left" w:pos="0"/>
        </w:tabs>
        <w:spacing w:after="120" w:line="240" w:lineRule="auto"/>
        <w:rPr>
          <w:rFonts w:ascii="Tahoma" w:hAnsi="Tahoma" w:cs="Tahoma"/>
          <w:sz w:val="18"/>
          <w:szCs w:val="18"/>
        </w:rPr>
      </w:pPr>
      <w:r w:rsidRPr="0021023F">
        <w:rPr>
          <w:rFonts w:ascii="Tahoma" w:hAnsi="Tahoma" w:cs="Tahoma"/>
          <w:sz w:val="18"/>
          <w:szCs w:val="18"/>
        </w:rPr>
        <w:t>Source: Texas Comptroller of Public Accounts</w:t>
      </w:r>
    </w:p>
    <w:p w:rsidR="00A57EF4" w:rsidRDefault="00A57EF4" w:rsidP="009833F9">
      <w:pPr>
        <w:spacing w:after="0" w:line="240" w:lineRule="auto"/>
        <w:rPr>
          <w:rFonts w:ascii="Tahoma" w:eastAsia="Times New Roman" w:hAnsi="Tahoma" w:cs="Tahoma"/>
          <w:color w:val="000000"/>
          <w:sz w:val="20"/>
          <w:szCs w:val="20"/>
        </w:rPr>
        <w:sectPr w:rsidR="00A57EF4" w:rsidSect="009961BB">
          <w:type w:val="continuous"/>
          <w:pgSz w:w="12240" w:h="15840"/>
          <w:pgMar w:top="1440" w:right="1350" w:bottom="1440" w:left="2070" w:header="720" w:footer="720" w:gutter="0"/>
          <w:cols w:space="720"/>
          <w:docGrid w:linePitch="360"/>
        </w:sectPr>
      </w:pPr>
    </w:p>
    <w:p w:rsidR="00C76797" w:rsidRDefault="00085395" w:rsidP="00DA34F2">
      <w:pPr>
        <w:tabs>
          <w:tab w:val="left" w:pos="0"/>
        </w:tabs>
        <w:spacing w:after="0"/>
        <w:jc w:val="both"/>
        <w:rPr>
          <w:sz w:val="28"/>
          <w:szCs w:val="28"/>
        </w:rPr>
        <w:sectPr w:rsidR="00C76797" w:rsidSect="009961BB">
          <w:type w:val="continuous"/>
          <w:pgSz w:w="12240" w:h="15840"/>
          <w:pgMar w:top="1440" w:right="1350" w:bottom="1440" w:left="2070" w:header="720" w:footer="720" w:gutter="0"/>
          <w:cols w:space="720"/>
          <w:docGrid w:linePitch="360"/>
        </w:sectPr>
      </w:pPr>
      <w:r>
        <w:rPr>
          <w:sz w:val="28"/>
          <w:szCs w:val="28"/>
        </w:rPr>
        <w:lastRenderedPageBreak/>
        <w:tab/>
      </w:r>
    </w:p>
    <w:p w:rsidR="000D60E4" w:rsidRDefault="00C76797" w:rsidP="00C76797">
      <w:pPr>
        <w:tabs>
          <w:tab w:val="left" w:pos="0"/>
          <w:tab w:val="left" w:pos="540"/>
        </w:tabs>
        <w:spacing w:after="0"/>
        <w:jc w:val="both"/>
        <w:rPr>
          <w:rFonts w:ascii="Tahoma" w:hAnsi="Tahoma" w:cs="Tahoma"/>
        </w:rPr>
      </w:pPr>
      <w:r>
        <w:rPr>
          <w:sz w:val="24"/>
          <w:szCs w:val="24"/>
        </w:rPr>
        <w:lastRenderedPageBreak/>
        <w:tab/>
      </w:r>
      <w:r w:rsidR="00085395" w:rsidRPr="00C76797">
        <w:rPr>
          <w:rFonts w:ascii="Tahoma" w:hAnsi="Tahoma" w:cs="Tahoma"/>
        </w:rPr>
        <w:t xml:space="preserve">Table 7 reports July 2015 year-to-date sales tax rebates for cities in McLennan and Falls Counties </w:t>
      </w:r>
      <w:r w:rsidR="00CF05F8">
        <w:rPr>
          <w:rFonts w:ascii="Tahoma" w:hAnsi="Tahoma" w:cs="Tahoma"/>
        </w:rPr>
        <w:t xml:space="preserve">that </w:t>
      </w:r>
      <w:r w:rsidR="00085395" w:rsidRPr="00C76797">
        <w:rPr>
          <w:rFonts w:ascii="Tahoma" w:hAnsi="Tahoma" w:cs="Tahoma"/>
        </w:rPr>
        <w:t>show</w:t>
      </w:r>
      <w:r w:rsidR="00CF05F8">
        <w:rPr>
          <w:rFonts w:ascii="Tahoma" w:hAnsi="Tahoma" w:cs="Tahoma"/>
        </w:rPr>
        <w:t xml:space="preserve"> </w:t>
      </w:r>
      <w:r w:rsidR="00085395" w:rsidRPr="00C76797">
        <w:rPr>
          <w:rFonts w:ascii="Tahoma" w:hAnsi="Tahoma" w:cs="Tahoma"/>
        </w:rPr>
        <w:t xml:space="preserve">taxable sales </w:t>
      </w:r>
      <w:r w:rsidR="00C97C91">
        <w:rPr>
          <w:rFonts w:ascii="Tahoma" w:hAnsi="Tahoma" w:cs="Tahoma"/>
        </w:rPr>
        <w:t>growth</w:t>
      </w:r>
      <w:r w:rsidR="000D60E4">
        <w:rPr>
          <w:rFonts w:ascii="Tahoma" w:hAnsi="Tahoma" w:cs="Tahoma"/>
        </w:rPr>
        <w:t xml:space="preserve"> has continued in 2015 with year-to-date tax rebates i</w:t>
      </w:r>
      <w:r w:rsidR="000D60E4">
        <w:rPr>
          <w:rFonts w:ascii="Tahoma" w:hAnsi="Tahoma" w:cs="Tahoma"/>
        </w:rPr>
        <w:t>n</w:t>
      </w:r>
      <w:r w:rsidR="000D60E4">
        <w:rPr>
          <w:rFonts w:ascii="Tahoma" w:hAnsi="Tahoma" w:cs="Tahoma"/>
        </w:rPr>
        <w:t>creasing 5.9% in McLennan County that more than offsets lower sales tax r</w:t>
      </w:r>
      <w:r w:rsidR="000D60E4">
        <w:rPr>
          <w:rFonts w:ascii="Tahoma" w:hAnsi="Tahoma" w:cs="Tahoma"/>
        </w:rPr>
        <w:t>e</w:t>
      </w:r>
      <w:r w:rsidR="000D60E4">
        <w:rPr>
          <w:rFonts w:ascii="Tahoma" w:hAnsi="Tahoma" w:cs="Tahoma"/>
        </w:rPr>
        <w:t xml:space="preserve">ceipts in Falls County. </w:t>
      </w:r>
      <w:r w:rsidR="00085395" w:rsidRPr="00C76797">
        <w:rPr>
          <w:rFonts w:ascii="Tahoma" w:hAnsi="Tahoma" w:cs="Tahoma"/>
        </w:rPr>
        <w:t xml:space="preserve"> </w:t>
      </w:r>
    </w:p>
    <w:p w:rsidR="00C76797" w:rsidRPr="00C76797" w:rsidRDefault="00CF05F8" w:rsidP="00C76797">
      <w:pPr>
        <w:tabs>
          <w:tab w:val="left" w:pos="0"/>
          <w:tab w:val="left" w:pos="540"/>
        </w:tabs>
        <w:spacing w:after="0"/>
        <w:jc w:val="both"/>
        <w:rPr>
          <w:rFonts w:ascii="Tahoma" w:hAnsi="Tahoma" w:cs="Tahoma"/>
        </w:rPr>
      </w:pPr>
      <w:r>
        <w:rPr>
          <w:rFonts w:ascii="Tahoma" w:hAnsi="Tahoma" w:cs="Tahoma"/>
        </w:rPr>
        <w:lastRenderedPageBreak/>
        <w:tab/>
      </w:r>
      <w:r w:rsidR="000D60E4">
        <w:rPr>
          <w:rFonts w:ascii="Tahoma" w:hAnsi="Tahoma" w:cs="Tahoma"/>
        </w:rPr>
        <w:t>Al</w:t>
      </w:r>
      <w:r w:rsidR="00DA34F2" w:rsidRPr="00C76797">
        <w:rPr>
          <w:rFonts w:ascii="Tahoma" w:hAnsi="Tahoma" w:cs="Tahoma"/>
        </w:rPr>
        <w:t xml:space="preserve">though the Federal Reserve is signaling a policy to increase </w:t>
      </w:r>
      <w:r w:rsidR="000D60E4">
        <w:rPr>
          <w:rFonts w:ascii="Tahoma" w:hAnsi="Tahoma" w:cs="Tahoma"/>
        </w:rPr>
        <w:t>i</w:t>
      </w:r>
      <w:r w:rsidR="00DA34F2" w:rsidRPr="00C76797">
        <w:rPr>
          <w:rFonts w:ascii="Tahoma" w:hAnsi="Tahoma" w:cs="Tahoma"/>
        </w:rPr>
        <w:t>nterest rates</w:t>
      </w:r>
      <w:r w:rsidR="000D60E4">
        <w:rPr>
          <w:rFonts w:ascii="Tahoma" w:hAnsi="Tahoma" w:cs="Tahoma"/>
        </w:rPr>
        <w:t>,</w:t>
      </w:r>
      <w:r w:rsidR="00DA34F2" w:rsidRPr="00C76797">
        <w:rPr>
          <w:rFonts w:ascii="Tahoma" w:hAnsi="Tahoma" w:cs="Tahoma"/>
        </w:rPr>
        <w:t xml:space="preserve"> the expectation of </w:t>
      </w:r>
      <w:r w:rsidR="000D60E4">
        <w:rPr>
          <w:rFonts w:ascii="Tahoma" w:hAnsi="Tahoma" w:cs="Tahoma"/>
        </w:rPr>
        <w:t xml:space="preserve">rising </w:t>
      </w:r>
      <w:r w:rsidR="00887765">
        <w:rPr>
          <w:rFonts w:ascii="Tahoma" w:hAnsi="Tahoma" w:cs="Tahoma"/>
        </w:rPr>
        <w:t xml:space="preserve">mortgage </w:t>
      </w:r>
      <w:r w:rsidR="00DA34F2" w:rsidRPr="00C76797">
        <w:rPr>
          <w:rFonts w:ascii="Tahoma" w:hAnsi="Tahoma" w:cs="Tahoma"/>
        </w:rPr>
        <w:t xml:space="preserve">rates </w:t>
      </w:r>
      <w:r w:rsidR="000D60E4">
        <w:rPr>
          <w:rFonts w:ascii="Tahoma" w:hAnsi="Tahoma" w:cs="Tahoma"/>
        </w:rPr>
        <w:t>is e</w:t>
      </w:r>
      <w:r w:rsidR="00DA34F2" w:rsidRPr="00C76797">
        <w:rPr>
          <w:rFonts w:ascii="Tahoma" w:hAnsi="Tahoma" w:cs="Tahoma"/>
        </w:rPr>
        <w:t>n</w:t>
      </w:r>
      <w:r w:rsidR="000D60E4">
        <w:rPr>
          <w:rFonts w:ascii="Tahoma" w:hAnsi="Tahoma" w:cs="Tahoma"/>
        </w:rPr>
        <w:t>couraging</w:t>
      </w:r>
      <w:r w:rsidR="005A5011" w:rsidRPr="00C76797">
        <w:rPr>
          <w:rFonts w:ascii="Tahoma" w:hAnsi="Tahoma" w:cs="Tahoma"/>
        </w:rPr>
        <w:t xml:space="preserve"> </w:t>
      </w:r>
      <w:r w:rsidR="000D60E4">
        <w:rPr>
          <w:rFonts w:ascii="Tahoma" w:hAnsi="Tahoma" w:cs="Tahoma"/>
        </w:rPr>
        <w:t xml:space="preserve">rising home sales that </w:t>
      </w:r>
      <w:r w:rsidR="00887765">
        <w:rPr>
          <w:rFonts w:ascii="Tahoma" w:hAnsi="Tahoma" w:cs="Tahoma"/>
        </w:rPr>
        <w:t xml:space="preserve">further encourage purchases of </w:t>
      </w:r>
      <w:r w:rsidR="000D60E4">
        <w:rPr>
          <w:rFonts w:ascii="Tahoma" w:hAnsi="Tahoma" w:cs="Tahoma"/>
        </w:rPr>
        <w:t>fu</w:t>
      </w:r>
      <w:r w:rsidR="000D60E4">
        <w:rPr>
          <w:rFonts w:ascii="Tahoma" w:hAnsi="Tahoma" w:cs="Tahoma"/>
        </w:rPr>
        <w:t>r</w:t>
      </w:r>
      <w:r w:rsidR="000D60E4">
        <w:rPr>
          <w:rFonts w:ascii="Tahoma" w:hAnsi="Tahoma" w:cs="Tahoma"/>
        </w:rPr>
        <w:t>niture, appliances, and other taxable d</w:t>
      </w:r>
      <w:r w:rsidR="000D60E4">
        <w:rPr>
          <w:rFonts w:ascii="Tahoma" w:hAnsi="Tahoma" w:cs="Tahoma"/>
        </w:rPr>
        <w:t>u</w:t>
      </w:r>
      <w:r w:rsidR="000D60E4">
        <w:rPr>
          <w:rFonts w:ascii="Tahoma" w:hAnsi="Tahoma" w:cs="Tahoma"/>
        </w:rPr>
        <w:t>rable goods</w:t>
      </w:r>
      <w:r w:rsidR="00887765">
        <w:rPr>
          <w:rFonts w:ascii="Tahoma" w:hAnsi="Tahoma" w:cs="Tahoma"/>
        </w:rPr>
        <w:t>.</w:t>
      </w:r>
    </w:p>
    <w:p w:rsidR="00C76797" w:rsidRDefault="00C76797" w:rsidP="00C76797">
      <w:pPr>
        <w:tabs>
          <w:tab w:val="left" w:pos="0"/>
          <w:tab w:val="left" w:pos="540"/>
        </w:tabs>
        <w:spacing w:after="0"/>
        <w:jc w:val="both"/>
        <w:rPr>
          <w:sz w:val="24"/>
          <w:szCs w:val="24"/>
        </w:rPr>
        <w:sectPr w:rsidR="00C76797" w:rsidSect="00C76797">
          <w:type w:val="continuous"/>
          <w:pgSz w:w="12240" w:h="15840"/>
          <w:pgMar w:top="1440" w:right="1350" w:bottom="1440" w:left="2070" w:header="720" w:footer="720" w:gutter="0"/>
          <w:cols w:num="2" w:space="720"/>
          <w:docGrid w:linePitch="360"/>
        </w:sectPr>
      </w:pPr>
    </w:p>
    <w:p w:rsidR="00E054D0" w:rsidRPr="00085395" w:rsidRDefault="00C76797" w:rsidP="00DA34F2">
      <w:pPr>
        <w:tabs>
          <w:tab w:val="left" w:pos="0"/>
        </w:tabs>
        <w:spacing w:after="0"/>
        <w:jc w:val="both"/>
        <w:rPr>
          <w:sz w:val="24"/>
          <w:szCs w:val="24"/>
        </w:rPr>
      </w:pPr>
      <w:r>
        <w:rPr>
          <w:sz w:val="24"/>
          <w:szCs w:val="24"/>
        </w:rPr>
        <w:lastRenderedPageBreak/>
        <w:t>________________________________________________________________________</w:t>
      </w:r>
      <w:r w:rsidR="00723D7A">
        <w:rPr>
          <w:sz w:val="24"/>
          <w:szCs w:val="24"/>
        </w:rPr>
        <w:t xml:space="preserve">  </w:t>
      </w:r>
      <w:r w:rsidR="00DA34F2">
        <w:rPr>
          <w:sz w:val="24"/>
          <w:szCs w:val="24"/>
        </w:rPr>
        <w:t xml:space="preserve">  </w:t>
      </w:r>
      <w:r w:rsidR="00085395">
        <w:rPr>
          <w:sz w:val="24"/>
          <w:szCs w:val="24"/>
        </w:rPr>
        <w:t xml:space="preserve">  </w:t>
      </w:r>
    </w:p>
    <w:p w:rsidR="00C76797" w:rsidRPr="00C76797" w:rsidRDefault="00C452CD" w:rsidP="00C452CD">
      <w:pPr>
        <w:tabs>
          <w:tab w:val="left" w:pos="0"/>
        </w:tabs>
        <w:spacing w:before="120" w:after="120"/>
        <w:rPr>
          <w:rFonts w:ascii="Tahoma" w:hAnsi="Tahoma" w:cs="Tahoma"/>
          <w:sz w:val="28"/>
          <w:szCs w:val="28"/>
        </w:rPr>
        <w:sectPr w:rsidR="00C76797" w:rsidRPr="00C76797" w:rsidSect="009961BB">
          <w:type w:val="continuous"/>
          <w:pgSz w:w="12240" w:h="15840"/>
          <w:pgMar w:top="1440" w:right="1350" w:bottom="1440" w:left="2070" w:header="720" w:footer="720" w:gutter="0"/>
          <w:cols w:space="720"/>
          <w:docGrid w:linePitch="360"/>
        </w:sectPr>
      </w:pPr>
      <w:r w:rsidRPr="00C76797">
        <w:rPr>
          <w:rFonts w:ascii="Tahoma" w:hAnsi="Tahoma" w:cs="Tahoma"/>
          <w:sz w:val="28"/>
          <w:szCs w:val="28"/>
        </w:rPr>
        <w:t>Home Sales and Construction</w:t>
      </w:r>
    </w:p>
    <w:p w:rsidR="0098125B" w:rsidRPr="005A3C21" w:rsidRDefault="00A819CA" w:rsidP="0098125B">
      <w:pPr>
        <w:tabs>
          <w:tab w:val="left" w:pos="0"/>
          <w:tab w:val="left" w:pos="540"/>
        </w:tabs>
        <w:spacing w:after="0"/>
        <w:jc w:val="both"/>
        <w:rPr>
          <w:rFonts w:ascii="Tahoma" w:hAnsi="Tahoma" w:cs="Tahoma"/>
        </w:rPr>
        <w:sectPr w:rsidR="0098125B" w:rsidRPr="005A3C21" w:rsidSect="0022354D">
          <w:type w:val="continuous"/>
          <w:pgSz w:w="12240" w:h="15840"/>
          <w:pgMar w:top="1440" w:right="1350" w:bottom="1440" w:left="2070" w:header="720" w:footer="720" w:gutter="0"/>
          <w:cols w:num="2" w:space="720"/>
          <w:docGrid w:linePitch="360"/>
        </w:sectPr>
      </w:pPr>
      <w:r w:rsidRPr="0098125B">
        <w:rPr>
          <w:rFonts w:ascii="Tahoma" w:hAnsi="Tahoma" w:cs="Tahoma"/>
        </w:rPr>
        <w:lastRenderedPageBreak/>
        <w:tab/>
      </w:r>
      <w:r w:rsidR="0022354D" w:rsidRPr="005A3C21">
        <w:rPr>
          <w:rFonts w:ascii="Tahoma" w:hAnsi="Tahoma" w:cs="Tahoma"/>
        </w:rPr>
        <w:t>Figure 18 shows that</w:t>
      </w:r>
      <w:r w:rsidRPr="005A3C21">
        <w:rPr>
          <w:rFonts w:ascii="Tahoma" w:hAnsi="Tahoma" w:cs="Tahoma"/>
        </w:rPr>
        <w:t xml:space="preserve"> </w:t>
      </w:r>
      <w:r w:rsidR="008D0133">
        <w:rPr>
          <w:rFonts w:ascii="Tahoma" w:hAnsi="Tahoma" w:cs="Tahoma"/>
        </w:rPr>
        <w:t xml:space="preserve">the </w:t>
      </w:r>
      <w:r w:rsidRPr="005A3C21">
        <w:rPr>
          <w:rFonts w:ascii="Tahoma" w:hAnsi="Tahoma" w:cs="Tahoma"/>
        </w:rPr>
        <w:t xml:space="preserve">annual rate of change in monthly construction employment </w:t>
      </w:r>
      <w:r w:rsidR="0022354D" w:rsidRPr="005A3C21">
        <w:rPr>
          <w:rFonts w:ascii="Tahoma" w:hAnsi="Tahoma" w:cs="Tahoma"/>
        </w:rPr>
        <w:t xml:space="preserve">increased every month since July of last year following a brief period of slower growth early in the year.  Growth in construction jobs has been driven by growth in Baylor facilities and commercial projects, but </w:t>
      </w:r>
      <w:r w:rsidR="0098125B" w:rsidRPr="005A3C21">
        <w:rPr>
          <w:rFonts w:ascii="Tahoma" w:hAnsi="Tahoma" w:cs="Tahoma"/>
        </w:rPr>
        <w:t>the</w:t>
      </w:r>
      <w:r w:rsidR="0022354D" w:rsidRPr="005A3C21">
        <w:rPr>
          <w:rFonts w:ascii="Tahoma" w:hAnsi="Tahoma" w:cs="Tahoma"/>
        </w:rPr>
        <w:t xml:space="preserve"> </w:t>
      </w:r>
      <w:r w:rsidR="0098125B" w:rsidRPr="005A3C21">
        <w:rPr>
          <w:rFonts w:ascii="Tahoma" w:hAnsi="Tahoma" w:cs="Tahoma"/>
        </w:rPr>
        <w:t xml:space="preserve">recent </w:t>
      </w:r>
      <w:r w:rsidR="0022354D" w:rsidRPr="005A3C21">
        <w:rPr>
          <w:rFonts w:ascii="Tahoma" w:hAnsi="Tahoma" w:cs="Tahoma"/>
        </w:rPr>
        <w:t>i</w:t>
      </w:r>
      <w:r w:rsidR="0022354D" w:rsidRPr="005A3C21">
        <w:rPr>
          <w:rFonts w:ascii="Tahoma" w:hAnsi="Tahoma" w:cs="Tahoma"/>
        </w:rPr>
        <w:t>n</w:t>
      </w:r>
      <w:r w:rsidR="0022354D" w:rsidRPr="005A3C21">
        <w:rPr>
          <w:rFonts w:ascii="Tahoma" w:hAnsi="Tahoma" w:cs="Tahoma"/>
        </w:rPr>
        <w:t>crease in</w:t>
      </w:r>
      <w:r w:rsidR="0098125B" w:rsidRPr="005A3C21">
        <w:rPr>
          <w:rFonts w:ascii="Tahoma" w:hAnsi="Tahoma" w:cs="Tahoma"/>
        </w:rPr>
        <w:t xml:space="preserve"> existing</w:t>
      </w:r>
      <w:r w:rsidR="0022354D" w:rsidRPr="005A3C21">
        <w:rPr>
          <w:rFonts w:ascii="Tahoma" w:hAnsi="Tahoma" w:cs="Tahoma"/>
        </w:rPr>
        <w:t xml:space="preserve"> </w:t>
      </w:r>
      <w:r w:rsidR="0098125B" w:rsidRPr="005A3C21">
        <w:rPr>
          <w:rFonts w:ascii="Tahoma" w:hAnsi="Tahoma" w:cs="Tahoma"/>
        </w:rPr>
        <w:t xml:space="preserve">housing sales is leading to more residential construction both in downtown Waco and the surrounding </w:t>
      </w:r>
      <w:r w:rsidR="0098125B" w:rsidRPr="005A3C21">
        <w:rPr>
          <w:rFonts w:ascii="Tahoma" w:hAnsi="Tahoma" w:cs="Tahoma"/>
        </w:rPr>
        <w:lastRenderedPageBreak/>
        <w:t>municipal areas.  Growth and increased stability of employment in the local eco</w:t>
      </w:r>
      <w:r w:rsidR="0098125B" w:rsidRPr="005A3C21">
        <w:rPr>
          <w:rFonts w:ascii="Tahoma" w:hAnsi="Tahoma" w:cs="Tahoma"/>
        </w:rPr>
        <w:t>n</w:t>
      </w:r>
      <w:r w:rsidR="0098125B" w:rsidRPr="005A3C21">
        <w:rPr>
          <w:rFonts w:ascii="Tahoma" w:hAnsi="Tahoma" w:cs="Tahoma"/>
        </w:rPr>
        <w:t>omy coupled with relatively low mor</w:t>
      </w:r>
      <w:r w:rsidR="0098125B" w:rsidRPr="005A3C21">
        <w:rPr>
          <w:rFonts w:ascii="Tahoma" w:hAnsi="Tahoma" w:cs="Tahoma"/>
        </w:rPr>
        <w:t>t</w:t>
      </w:r>
      <w:r w:rsidR="0098125B" w:rsidRPr="005A3C21">
        <w:rPr>
          <w:rFonts w:ascii="Tahoma" w:hAnsi="Tahoma" w:cs="Tahoma"/>
        </w:rPr>
        <w:t>gage rates and rising rental prices have increased the demand for single family housing.  Rising demand has reduced the inventory of existing homes for sale from 1,363 in January 2013 to 999 in June 2015.  The average length of time to sell a home over the same period has d</w:t>
      </w:r>
      <w:r w:rsidR="0098125B" w:rsidRPr="005A3C21">
        <w:rPr>
          <w:rFonts w:ascii="Tahoma" w:hAnsi="Tahoma" w:cs="Tahoma"/>
        </w:rPr>
        <w:t>e</w:t>
      </w:r>
      <w:r w:rsidR="0098125B" w:rsidRPr="005A3C21">
        <w:rPr>
          <w:rFonts w:ascii="Tahoma" w:hAnsi="Tahoma" w:cs="Tahoma"/>
        </w:rPr>
        <w:t xml:space="preserve">creased from 7.6 months to 4.5 months.  </w:t>
      </w:r>
    </w:p>
    <w:p w:rsidR="003A0803" w:rsidRDefault="003A0803" w:rsidP="00A819CA">
      <w:pPr>
        <w:tabs>
          <w:tab w:val="left" w:pos="0"/>
          <w:tab w:val="left" w:pos="540"/>
        </w:tabs>
        <w:spacing w:before="120" w:after="120"/>
        <w:jc w:val="both"/>
        <w:rPr>
          <w:sz w:val="28"/>
          <w:szCs w:val="28"/>
        </w:rPr>
        <w:sectPr w:rsidR="003A0803" w:rsidSect="009961BB">
          <w:type w:val="continuous"/>
          <w:pgSz w:w="12240" w:h="15840"/>
          <w:pgMar w:top="1440" w:right="1350" w:bottom="1440" w:left="2070" w:header="720" w:footer="720" w:gutter="0"/>
          <w:cols w:space="720"/>
          <w:docGrid w:linePitch="360"/>
        </w:sectPr>
      </w:pPr>
      <w:r>
        <w:rPr>
          <w:sz w:val="28"/>
          <w:szCs w:val="28"/>
        </w:rPr>
        <w:lastRenderedPageBreak/>
        <w:tab/>
      </w:r>
      <w:r w:rsidR="00A819CA">
        <w:rPr>
          <w:noProof/>
        </w:rPr>
        <w:drawing>
          <wp:inline distT="0" distB="0" distL="0" distR="0" wp14:anchorId="0D410F2C" wp14:editId="13EFB47F">
            <wp:extent cx="5574535" cy="3139808"/>
            <wp:effectExtent l="0" t="0" r="26670" b="228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5A3C21" w:rsidRPr="005A3C21">
        <w:rPr>
          <w:rFonts w:ascii="Tahoma" w:hAnsi="Tahoma" w:cs="Tahoma"/>
          <w:sz w:val="18"/>
          <w:szCs w:val="18"/>
        </w:rPr>
        <w:t>Source: U.S. Bureau of Labor Statistics</w:t>
      </w:r>
      <w:r w:rsidR="00F07C62" w:rsidRPr="005A3C21">
        <w:rPr>
          <w:rFonts w:ascii="Tahoma" w:hAnsi="Tahoma" w:cs="Tahoma"/>
          <w:sz w:val="18"/>
          <w:szCs w:val="18"/>
        </w:rPr>
        <w:tab/>
      </w:r>
    </w:p>
    <w:p w:rsidR="00887765" w:rsidRDefault="005A3C21" w:rsidP="005A3C21">
      <w:pPr>
        <w:tabs>
          <w:tab w:val="left" w:pos="0"/>
          <w:tab w:val="left" w:pos="540"/>
        </w:tabs>
        <w:spacing w:after="0"/>
        <w:jc w:val="both"/>
        <w:rPr>
          <w:rFonts w:ascii="Tahoma" w:hAnsi="Tahoma" w:cs="Tahoma"/>
        </w:rPr>
      </w:pPr>
      <w:r>
        <w:rPr>
          <w:sz w:val="24"/>
          <w:szCs w:val="24"/>
        </w:rPr>
        <w:lastRenderedPageBreak/>
        <w:tab/>
      </w:r>
      <w:r w:rsidR="00DF4BCC" w:rsidRPr="005A3C21">
        <w:rPr>
          <w:rFonts w:ascii="Tahoma" w:hAnsi="Tahoma" w:cs="Tahoma"/>
        </w:rPr>
        <w:t xml:space="preserve">Figure </w:t>
      </w:r>
      <w:r>
        <w:rPr>
          <w:rFonts w:ascii="Tahoma" w:hAnsi="Tahoma" w:cs="Tahoma"/>
        </w:rPr>
        <w:t>19</w:t>
      </w:r>
      <w:r w:rsidR="003E0BB9" w:rsidRPr="005A3C21">
        <w:rPr>
          <w:rFonts w:ascii="Tahoma" w:hAnsi="Tahoma" w:cs="Tahoma"/>
        </w:rPr>
        <w:t xml:space="preserve"> shows the number of MLS single family homes sold in the Waco MSA since January 2013.  </w:t>
      </w:r>
      <w:r w:rsidR="009A7A6C" w:rsidRPr="005A3C21">
        <w:rPr>
          <w:rFonts w:ascii="Tahoma" w:hAnsi="Tahoma" w:cs="Tahoma"/>
        </w:rPr>
        <w:t xml:space="preserve">In general, when </w:t>
      </w:r>
      <w:r w:rsidR="00887765">
        <w:rPr>
          <w:rFonts w:ascii="Tahoma" w:hAnsi="Tahoma" w:cs="Tahoma"/>
        </w:rPr>
        <w:t xml:space="preserve">the </w:t>
      </w:r>
      <w:r w:rsidR="009A7A6C" w:rsidRPr="005A3C21">
        <w:rPr>
          <w:rFonts w:ascii="Tahoma" w:hAnsi="Tahoma" w:cs="Tahoma"/>
        </w:rPr>
        <w:t xml:space="preserve">average length of time to sell </w:t>
      </w:r>
      <w:r w:rsidR="00887765">
        <w:rPr>
          <w:rFonts w:ascii="Tahoma" w:hAnsi="Tahoma" w:cs="Tahoma"/>
        </w:rPr>
        <w:t xml:space="preserve">a residence </w:t>
      </w:r>
      <w:r w:rsidR="009A7A6C" w:rsidRPr="005A3C21">
        <w:rPr>
          <w:rFonts w:ascii="Tahoma" w:hAnsi="Tahoma" w:cs="Tahoma"/>
        </w:rPr>
        <w:t>decreases below 6.0 months, home sales shift from a seller’s to a bu</w:t>
      </w:r>
      <w:r w:rsidR="009A7A6C" w:rsidRPr="005A3C21">
        <w:rPr>
          <w:rFonts w:ascii="Tahoma" w:hAnsi="Tahoma" w:cs="Tahoma"/>
        </w:rPr>
        <w:t>y</w:t>
      </w:r>
      <w:r w:rsidR="009A7A6C" w:rsidRPr="005A3C21">
        <w:rPr>
          <w:rFonts w:ascii="Tahoma" w:hAnsi="Tahoma" w:cs="Tahoma"/>
        </w:rPr>
        <w:t xml:space="preserve">er’s market.  This length of selling time in </w:t>
      </w:r>
      <w:r w:rsidR="009A7A6C" w:rsidRPr="005A3C21">
        <w:rPr>
          <w:rFonts w:ascii="Tahoma" w:hAnsi="Tahoma" w:cs="Tahoma"/>
        </w:rPr>
        <w:lastRenderedPageBreak/>
        <w:t>Waco reached 6 months in October 2014</w:t>
      </w:r>
      <w:r w:rsidR="00460DC7" w:rsidRPr="005A3C21">
        <w:rPr>
          <w:rFonts w:ascii="Tahoma" w:hAnsi="Tahoma" w:cs="Tahoma"/>
        </w:rPr>
        <w:t>,</w:t>
      </w:r>
      <w:r w:rsidR="009A7A6C" w:rsidRPr="005A3C21">
        <w:rPr>
          <w:rFonts w:ascii="Tahoma" w:hAnsi="Tahoma" w:cs="Tahoma"/>
        </w:rPr>
        <w:t xml:space="preserve"> decreased every month through June 2015</w:t>
      </w:r>
      <w:r w:rsidR="00460DC7" w:rsidRPr="005A3C21">
        <w:rPr>
          <w:rFonts w:ascii="Tahoma" w:hAnsi="Tahoma" w:cs="Tahoma"/>
        </w:rPr>
        <w:t>, and is projected to remain low in the near fu</w:t>
      </w:r>
      <w:r>
        <w:rPr>
          <w:rFonts w:ascii="Tahoma" w:hAnsi="Tahoma" w:cs="Tahoma"/>
        </w:rPr>
        <w:t xml:space="preserve">ture. </w:t>
      </w:r>
    </w:p>
    <w:p w:rsidR="005A3C21" w:rsidRDefault="00887765" w:rsidP="00887765">
      <w:pPr>
        <w:tabs>
          <w:tab w:val="left" w:pos="0"/>
          <w:tab w:val="left" w:pos="540"/>
        </w:tabs>
        <w:spacing w:after="0"/>
        <w:jc w:val="both"/>
        <w:rPr>
          <w:rFonts w:ascii="Tahoma" w:hAnsi="Tahoma" w:cs="Tahoma"/>
        </w:rPr>
        <w:sectPr w:rsidR="005A3C21" w:rsidSect="005A3C21">
          <w:type w:val="continuous"/>
          <w:pgSz w:w="12240" w:h="15840"/>
          <w:pgMar w:top="1440" w:right="1350" w:bottom="1440" w:left="2070" w:header="720" w:footer="720" w:gutter="0"/>
          <w:cols w:num="2" w:space="720"/>
          <w:docGrid w:linePitch="360"/>
        </w:sectPr>
      </w:pPr>
      <w:r>
        <w:rPr>
          <w:rFonts w:ascii="Tahoma" w:hAnsi="Tahoma" w:cs="Tahoma"/>
        </w:rPr>
        <w:tab/>
      </w:r>
      <w:r w:rsidR="005A3C21">
        <w:rPr>
          <w:rFonts w:ascii="Tahoma" w:hAnsi="Tahoma" w:cs="Tahoma"/>
        </w:rPr>
        <w:t>Lower inventories are putting u</w:t>
      </w:r>
      <w:r w:rsidR="005A3C21">
        <w:rPr>
          <w:rFonts w:ascii="Tahoma" w:hAnsi="Tahoma" w:cs="Tahoma"/>
        </w:rPr>
        <w:t>p</w:t>
      </w:r>
      <w:r w:rsidR="005A3C21">
        <w:rPr>
          <w:rFonts w:ascii="Tahoma" w:hAnsi="Tahoma" w:cs="Tahoma"/>
        </w:rPr>
        <w:t>ward pressure on</w:t>
      </w:r>
      <w:r w:rsidR="008D0133">
        <w:rPr>
          <w:rFonts w:ascii="Tahoma" w:hAnsi="Tahoma" w:cs="Tahoma"/>
        </w:rPr>
        <w:t xml:space="preserve"> home </w:t>
      </w:r>
      <w:r w:rsidR="005A3C21">
        <w:rPr>
          <w:rFonts w:ascii="Tahoma" w:hAnsi="Tahoma" w:cs="Tahoma"/>
        </w:rPr>
        <w:t>prices.</w:t>
      </w:r>
      <w:r>
        <w:rPr>
          <w:rFonts w:ascii="Tahoma" w:hAnsi="Tahoma" w:cs="Tahoma"/>
        </w:rPr>
        <w:t xml:space="preserve">  </w:t>
      </w:r>
      <w:r w:rsidRPr="00116FCC">
        <w:rPr>
          <w:rFonts w:ascii="Tahoma" w:hAnsi="Tahoma" w:cs="Tahoma"/>
        </w:rPr>
        <w:t xml:space="preserve">Figure 20 shows that the median price of MLS </w:t>
      </w:r>
    </w:p>
    <w:p w:rsidR="005A3C21" w:rsidRPr="005A3C21" w:rsidRDefault="005A3C21" w:rsidP="00460DC7">
      <w:pPr>
        <w:tabs>
          <w:tab w:val="left" w:pos="0"/>
        </w:tabs>
        <w:spacing w:before="120" w:after="120"/>
        <w:jc w:val="both"/>
        <w:rPr>
          <w:sz w:val="24"/>
          <w:szCs w:val="24"/>
        </w:rPr>
        <w:sectPr w:rsidR="005A3C21" w:rsidRPr="005A3C21" w:rsidSect="005A3C21">
          <w:type w:val="continuous"/>
          <w:pgSz w:w="12240" w:h="15840"/>
          <w:pgMar w:top="1440" w:right="1350" w:bottom="1440" w:left="2070" w:header="720" w:footer="720" w:gutter="0"/>
          <w:cols w:num="2" w:space="720"/>
          <w:docGrid w:linePitch="360"/>
        </w:sectPr>
      </w:pPr>
    </w:p>
    <w:p w:rsidR="00E054D0" w:rsidRDefault="003E0BB9" w:rsidP="005A3C21">
      <w:pPr>
        <w:tabs>
          <w:tab w:val="left" w:pos="0"/>
        </w:tabs>
        <w:spacing w:after="0"/>
        <w:jc w:val="both"/>
        <w:rPr>
          <w:sz w:val="28"/>
          <w:szCs w:val="28"/>
        </w:rPr>
      </w:pPr>
      <w:r>
        <w:rPr>
          <w:noProof/>
        </w:rPr>
        <w:lastRenderedPageBreak/>
        <w:drawing>
          <wp:inline distT="0" distB="0" distL="0" distR="0" wp14:anchorId="2ECE330D" wp14:editId="3789331E">
            <wp:extent cx="5596569" cy="3084723"/>
            <wp:effectExtent l="0" t="0" r="23495" b="2095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E0BB9" w:rsidRDefault="003E0BB9" w:rsidP="003E0BB9">
      <w:pPr>
        <w:tabs>
          <w:tab w:val="left" w:pos="0"/>
        </w:tabs>
        <w:spacing w:after="0" w:line="240" w:lineRule="auto"/>
        <w:rPr>
          <w:rFonts w:ascii="Tahoma" w:hAnsi="Tahoma" w:cs="Tahoma"/>
          <w:sz w:val="18"/>
          <w:szCs w:val="18"/>
        </w:rPr>
      </w:pPr>
      <w:r w:rsidRPr="005A3C21">
        <w:rPr>
          <w:rFonts w:ascii="Tahoma" w:hAnsi="Tahoma" w:cs="Tahoma"/>
          <w:sz w:val="18"/>
          <w:szCs w:val="18"/>
        </w:rPr>
        <w:t>Source:  Texas A&amp;M Real Estate Research Center</w:t>
      </w:r>
    </w:p>
    <w:p w:rsidR="005A3C21" w:rsidRPr="005A3C21" w:rsidRDefault="005A3C21" w:rsidP="003E0BB9">
      <w:pPr>
        <w:tabs>
          <w:tab w:val="left" w:pos="0"/>
        </w:tabs>
        <w:spacing w:after="0" w:line="240" w:lineRule="auto"/>
        <w:rPr>
          <w:rFonts w:ascii="Tahoma" w:hAnsi="Tahoma" w:cs="Tahoma"/>
          <w:sz w:val="18"/>
          <w:szCs w:val="18"/>
        </w:rPr>
      </w:pPr>
    </w:p>
    <w:p w:rsidR="00E054D0" w:rsidRDefault="003913F7" w:rsidP="005A7FCA">
      <w:pPr>
        <w:tabs>
          <w:tab w:val="left" w:pos="0"/>
        </w:tabs>
        <w:spacing w:after="0"/>
        <w:rPr>
          <w:sz w:val="28"/>
          <w:szCs w:val="28"/>
        </w:rPr>
      </w:pPr>
      <w:r>
        <w:rPr>
          <w:noProof/>
        </w:rPr>
        <w:drawing>
          <wp:inline distT="0" distB="0" distL="0" distR="0" wp14:anchorId="1A114BC4" wp14:editId="2494537B">
            <wp:extent cx="5600700" cy="2867025"/>
            <wp:effectExtent l="0" t="0" r="1905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87765" w:rsidRDefault="003913F7" w:rsidP="003913F7">
      <w:pPr>
        <w:tabs>
          <w:tab w:val="left" w:pos="0"/>
        </w:tabs>
        <w:spacing w:after="0" w:line="240" w:lineRule="auto"/>
        <w:rPr>
          <w:sz w:val="18"/>
          <w:szCs w:val="18"/>
        </w:rPr>
        <w:sectPr w:rsidR="00887765" w:rsidSect="009961BB">
          <w:type w:val="continuous"/>
          <w:pgSz w:w="12240" w:h="15840"/>
          <w:pgMar w:top="1440" w:right="1350" w:bottom="1440" w:left="2070" w:header="720" w:footer="720" w:gutter="0"/>
          <w:cols w:space="720"/>
          <w:docGrid w:linePitch="360"/>
        </w:sectPr>
      </w:pPr>
      <w:r>
        <w:rPr>
          <w:sz w:val="18"/>
          <w:szCs w:val="18"/>
        </w:rPr>
        <w:t>Source:  Texas A&amp;M Real Estate Research Center</w:t>
      </w:r>
    </w:p>
    <w:p w:rsidR="00887765" w:rsidRDefault="00887765" w:rsidP="00887765">
      <w:pPr>
        <w:tabs>
          <w:tab w:val="left" w:pos="0"/>
          <w:tab w:val="left" w:pos="540"/>
        </w:tabs>
        <w:spacing w:after="0"/>
        <w:jc w:val="both"/>
        <w:rPr>
          <w:rFonts w:ascii="Tahoma" w:hAnsi="Tahoma" w:cs="Tahoma"/>
        </w:rPr>
      </w:pPr>
      <w:r w:rsidRPr="00116FCC">
        <w:rPr>
          <w:rFonts w:ascii="Tahoma" w:hAnsi="Tahoma" w:cs="Tahoma"/>
        </w:rPr>
        <w:lastRenderedPageBreak/>
        <w:t>single family homes sold</w:t>
      </w:r>
      <w:r>
        <w:rPr>
          <w:rFonts w:ascii="Tahoma" w:hAnsi="Tahoma" w:cs="Tahoma"/>
        </w:rPr>
        <w:t xml:space="preserve"> in the Waco MSA</w:t>
      </w:r>
      <w:r w:rsidRPr="00116FCC">
        <w:rPr>
          <w:rFonts w:ascii="Tahoma" w:hAnsi="Tahoma" w:cs="Tahoma"/>
        </w:rPr>
        <w:t xml:space="preserve"> increased with the faster pace of sales and reduced inventories</w:t>
      </w:r>
      <w:r>
        <w:rPr>
          <w:rFonts w:ascii="Tahoma" w:hAnsi="Tahoma" w:cs="Tahoma"/>
        </w:rPr>
        <w:t>.</w:t>
      </w:r>
      <w:r w:rsidRPr="00116FCC">
        <w:rPr>
          <w:rFonts w:ascii="Tahoma" w:hAnsi="Tahoma" w:cs="Tahoma"/>
        </w:rPr>
        <w:t xml:space="preserve"> </w:t>
      </w:r>
      <w:r w:rsidR="000E3EE8" w:rsidRPr="00116FCC">
        <w:rPr>
          <w:rFonts w:ascii="Tahoma" w:hAnsi="Tahoma" w:cs="Tahoma"/>
        </w:rPr>
        <w:t xml:space="preserve">Upward price pressure and the expectation of rising interest rates will encourage growth in demand for existing housing that will exceed available supply over the next year.  </w:t>
      </w:r>
    </w:p>
    <w:p w:rsidR="00FB3B79" w:rsidRDefault="00887765" w:rsidP="00FB3B79">
      <w:pPr>
        <w:tabs>
          <w:tab w:val="left" w:pos="0"/>
          <w:tab w:val="left" w:pos="540"/>
        </w:tabs>
        <w:spacing w:after="0"/>
        <w:jc w:val="both"/>
        <w:rPr>
          <w:rFonts w:ascii="Tahoma" w:hAnsi="Tahoma" w:cs="Tahoma"/>
        </w:rPr>
      </w:pPr>
      <w:r>
        <w:rPr>
          <w:rFonts w:ascii="Tahoma" w:hAnsi="Tahoma" w:cs="Tahoma"/>
        </w:rPr>
        <w:tab/>
      </w:r>
      <w:r w:rsidR="00116FCC">
        <w:rPr>
          <w:rFonts w:ascii="Tahoma" w:hAnsi="Tahoma" w:cs="Tahoma"/>
        </w:rPr>
        <w:t>Rising rental prices along with i</w:t>
      </w:r>
      <w:r w:rsidR="00116FCC">
        <w:rPr>
          <w:rFonts w:ascii="Tahoma" w:hAnsi="Tahoma" w:cs="Tahoma"/>
        </w:rPr>
        <w:t>n</w:t>
      </w:r>
      <w:r w:rsidR="00116FCC">
        <w:rPr>
          <w:rFonts w:ascii="Tahoma" w:hAnsi="Tahoma" w:cs="Tahoma"/>
        </w:rPr>
        <w:t xml:space="preserve">creased </w:t>
      </w:r>
      <w:r w:rsidR="00E534E7">
        <w:rPr>
          <w:rFonts w:ascii="Tahoma" w:hAnsi="Tahoma" w:cs="Tahoma"/>
        </w:rPr>
        <w:t xml:space="preserve">job security is increasing the demand for existing housing between $150,000 and $250,000 at what many real estate specialists cite as the best market in many years.  Mortgage rates are unlikely to surge upward next year, but upward pressure could take place as the Fed begins to raise the federal funds rate.  </w:t>
      </w:r>
      <w:r w:rsidR="000E3EE8" w:rsidRPr="00116FCC">
        <w:rPr>
          <w:rFonts w:ascii="Tahoma" w:hAnsi="Tahoma" w:cs="Tahoma"/>
        </w:rPr>
        <w:t xml:space="preserve">The short supply will encourage more spending </w:t>
      </w:r>
      <w:r w:rsidR="009C501A" w:rsidRPr="00116FCC">
        <w:rPr>
          <w:rFonts w:ascii="Tahoma" w:hAnsi="Tahoma" w:cs="Tahoma"/>
        </w:rPr>
        <w:t xml:space="preserve">next year </w:t>
      </w:r>
      <w:r w:rsidR="000E3EE8" w:rsidRPr="00116FCC">
        <w:rPr>
          <w:rFonts w:ascii="Tahoma" w:hAnsi="Tahoma" w:cs="Tahoma"/>
        </w:rPr>
        <w:t xml:space="preserve">on new home construction </w:t>
      </w:r>
      <w:r w:rsidR="009C501A" w:rsidRPr="00116FCC">
        <w:rPr>
          <w:rFonts w:ascii="Tahoma" w:hAnsi="Tahoma" w:cs="Tahoma"/>
        </w:rPr>
        <w:t>in addition to</w:t>
      </w:r>
      <w:r w:rsidR="000E3EE8" w:rsidRPr="00116FCC">
        <w:rPr>
          <w:rFonts w:ascii="Tahoma" w:hAnsi="Tahoma" w:cs="Tahoma"/>
        </w:rPr>
        <w:t xml:space="preserve"> remodeling of existing housing </w:t>
      </w:r>
      <w:r w:rsidR="009C501A" w:rsidRPr="00116FCC">
        <w:rPr>
          <w:rFonts w:ascii="Tahoma" w:hAnsi="Tahoma" w:cs="Tahoma"/>
        </w:rPr>
        <w:t>in response to pent-up demand that has accumulated over the past two years.</w:t>
      </w:r>
    </w:p>
    <w:p w:rsidR="00116FCC" w:rsidRDefault="00FB3B79" w:rsidP="00FB3B79">
      <w:pPr>
        <w:tabs>
          <w:tab w:val="left" w:pos="0"/>
          <w:tab w:val="left" w:pos="540"/>
        </w:tabs>
        <w:spacing w:after="0"/>
        <w:jc w:val="both"/>
        <w:rPr>
          <w:rFonts w:ascii="Tahoma" w:hAnsi="Tahoma" w:cs="Tahoma"/>
        </w:rPr>
      </w:pPr>
      <w:r>
        <w:rPr>
          <w:rFonts w:ascii="Tahoma" w:hAnsi="Tahoma" w:cs="Tahoma"/>
        </w:rPr>
        <w:lastRenderedPageBreak/>
        <w:tab/>
      </w:r>
      <w:r w:rsidR="00116FCC" w:rsidRPr="00116FCC">
        <w:rPr>
          <w:rFonts w:ascii="Tahoma" w:hAnsi="Tahoma" w:cs="Tahoma"/>
        </w:rPr>
        <w:t>Figure 21 shows that while there have been more single family housing starts over the past year the pace of growth has lagged the rate of sales of existing housing.</w:t>
      </w:r>
      <w:r w:rsidR="00116FCC">
        <w:rPr>
          <w:rFonts w:ascii="Tahoma" w:hAnsi="Tahoma" w:cs="Tahoma"/>
        </w:rPr>
        <w:t xml:space="preserve">  </w:t>
      </w:r>
      <w:r w:rsidR="004F61A0" w:rsidRPr="00116FCC">
        <w:rPr>
          <w:rFonts w:ascii="Tahoma" w:hAnsi="Tahoma" w:cs="Tahoma"/>
        </w:rPr>
        <w:t xml:space="preserve">A primary reason for the slow pace of growth in single family housing has been the development of multiunit </w:t>
      </w:r>
      <w:r w:rsidR="00272336" w:rsidRPr="00116FCC">
        <w:rPr>
          <w:rFonts w:ascii="Tahoma" w:hAnsi="Tahoma" w:cs="Tahoma"/>
        </w:rPr>
        <w:t xml:space="preserve">housing.  In 2014 there were 814 </w:t>
      </w:r>
      <w:r w:rsidR="006D0BBB" w:rsidRPr="00116FCC">
        <w:rPr>
          <w:rFonts w:ascii="Tahoma" w:hAnsi="Tahoma" w:cs="Tahoma"/>
        </w:rPr>
        <w:t xml:space="preserve">over 5-family </w:t>
      </w:r>
      <w:r w:rsidR="00272336" w:rsidRPr="00116FCC">
        <w:rPr>
          <w:rFonts w:ascii="Tahoma" w:hAnsi="Tahoma" w:cs="Tahoma"/>
        </w:rPr>
        <w:t>multiunit dwellings constructed in the Waco MSA with an average value per unit of $91,100.  This total exceeded the 609 single family units constructed over the same period, al</w:t>
      </w:r>
      <w:r w:rsidR="00272336" w:rsidRPr="00116FCC">
        <w:rPr>
          <w:rFonts w:ascii="Tahoma" w:hAnsi="Tahoma" w:cs="Tahoma"/>
        </w:rPr>
        <w:t>t</w:t>
      </w:r>
      <w:r w:rsidR="00272336" w:rsidRPr="00116FCC">
        <w:rPr>
          <w:rFonts w:ascii="Tahoma" w:hAnsi="Tahoma" w:cs="Tahoma"/>
        </w:rPr>
        <w:t>hough the average unit value of new si</w:t>
      </w:r>
      <w:r w:rsidR="00272336" w:rsidRPr="00116FCC">
        <w:rPr>
          <w:rFonts w:ascii="Tahoma" w:hAnsi="Tahoma" w:cs="Tahoma"/>
        </w:rPr>
        <w:t>n</w:t>
      </w:r>
      <w:r w:rsidR="00272336" w:rsidRPr="00116FCC">
        <w:rPr>
          <w:rFonts w:ascii="Tahoma" w:hAnsi="Tahoma" w:cs="Tahoma"/>
        </w:rPr>
        <w:t>gle family homes amounted $</w:t>
      </w:r>
      <w:r w:rsidR="006D0BBB" w:rsidRPr="00116FCC">
        <w:rPr>
          <w:rFonts w:ascii="Tahoma" w:hAnsi="Tahoma" w:cs="Tahoma"/>
        </w:rPr>
        <w:t>198,900.  May 2015 year-to-date multifamily buil</w:t>
      </w:r>
      <w:r w:rsidR="006D0BBB" w:rsidRPr="00116FCC">
        <w:rPr>
          <w:rFonts w:ascii="Tahoma" w:hAnsi="Tahoma" w:cs="Tahoma"/>
        </w:rPr>
        <w:t>d</w:t>
      </w:r>
      <w:r w:rsidR="006D0BBB" w:rsidRPr="00116FCC">
        <w:rPr>
          <w:rFonts w:ascii="Tahoma" w:hAnsi="Tahoma" w:cs="Tahoma"/>
        </w:rPr>
        <w:t>ing permits total 332 dwelling units co</w:t>
      </w:r>
      <w:r w:rsidR="006D0BBB" w:rsidRPr="00116FCC">
        <w:rPr>
          <w:rFonts w:ascii="Tahoma" w:hAnsi="Tahoma" w:cs="Tahoma"/>
        </w:rPr>
        <w:t>m</w:t>
      </w:r>
      <w:r w:rsidR="006D0BBB" w:rsidRPr="00116FCC">
        <w:rPr>
          <w:rFonts w:ascii="Tahoma" w:hAnsi="Tahoma" w:cs="Tahoma"/>
        </w:rPr>
        <w:t xml:space="preserve">pared with 188 single family dwelling units.  </w:t>
      </w:r>
      <w:r w:rsidR="005F1D2B" w:rsidRPr="00116FCC">
        <w:rPr>
          <w:rFonts w:ascii="Tahoma" w:hAnsi="Tahoma" w:cs="Tahoma"/>
        </w:rPr>
        <w:t>A</w:t>
      </w:r>
      <w:r w:rsidR="00060AEA" w:rsidRPr="00116FCC">
        <w:rPr>
          <w:rFonts w:ascii="Tahoma" w:hAnsi="Tahoma" w:cs="Tahoma"/>
        </w:rPr>
        <w:t xml:space="preserve"> more stable job market will i</w:t>
      </w:r>
      <w:r w:rsidR="00060AEA" w:rsidRPr="00116FCC">
        <w:rPr>
          <w:rFonts w:ascii="Tahoma" w:hAnsi="Tahoma" w:cs="Tahoma"/>
        </w:rPr>
        <w:t>n</w:t>
      </w:r>
      <w:r w:rsidR="00060AEA" w:rsidRPr="00116FCC">
        <w:rPr>
          <w:rFonts w:ascii="Tahoma" w:hAnsi="Tahoma" w:cs="Tahoma"/>
        </w:rPr>
        <w:t>crease the relative demand for single-family owner</w:t>
      </w:r>
      <w:r w:rsidR="005F1D2B" w:rsidRPr="00116FCC">
        <w:rPr>
          <w:rFonts w:ascii="Tahoma" w:hAnsi="Tahoma" w:cs="Tahoma"/>
        </w:rPr>
        <w:t>-</w:t>
      </w:r>
      <w:r w:rsidR="00060AEA" w:rsidRPr="00116FCC">
        <w:rPr>
          <w:rFonts w:ascii="Tahoma" w:hAnsi="Tahoma" w:cs="Tahoma"/>
        </w:rPr>
        <w:t>occupied housing over the next year.</w:t>
      </w:r>
    </w:p>
    <w:p w:rsidR="00116FCC" w:rsidRDefault="00116FCC" w:rsidP="00116FCC">
      <w:pPr>
        <w:tabs>
          <w:tab w:val="left" w:pos="0"/>
          <w:tab w:val="left" w:pos="540"/>
        </w:tabs>
        <w:spacing w:before="120" w:after="240"/>
        <w:jc w:val="both"/>
        <w:rPr>
          <w:rFonts w:ascii="Tahoma" w:hAnsi="Tahoma" w:cs="Tahoma"/>
        </w:rPr>
        <w:sectPr w:rsidR="00116FCC" w:rsidSect="00116FCC">
          <w:type w:val="continuous"/>
          <w:pgSz w:w="12240" w:h="15840"/>
          <w:pgMar w:top="1440" w:right="1350" w:bottom="1440" w:left="2070" w:header="720" w:footer="720" w:gutter="0"/>
          <w:cols w:num="2" w:space="720"/>
          <w:docGrid w:linePitch="360"/>
        </w:sectPr>
      </w:pPr>
    </w:p>
    <w:p w:rsidR="00116FCC" w:rsidRDefault="00FB3B79" w:rsidP="00116FCC">
      <w:pPr>
        <w:tabs>
          <w:tab w:val="left" w:pos="0"/>
          <w:tab w:val="left" w:pos="540"/>
        </w:tabs>
        <w:spacing w:before="120" w:after="240"/>
        <w:jc w:val="both"/>
        <w:rPr>
          <w:rFonts w:ascii="Tahoma" w:hAnsi="Tahoma" w:cs="Tahoma"/>
        </w:rPr>
        <w:sectPr w:rsidR="00116FCC" w:rsidSect="009961BB">
          <w:type w:val="continuous"/>
          <w:pgSz w:w="12240" w:h="15840"/>
          <w:pgMar w:top="1440" w:right="1350" w:bottom="1440" w:left="2070" w:header="720" w:footer="720" w:gutter="0"/>
          <w:cols w:space="720"/>
          <w:docGrid w:linePitch="360"/>
        </w:sectPr>
      </w:pPr>
      <w:r>
        <w:rPr>
          <w:noProof/>
        </w:rPr>
        <w:lastRenderedPageBreak/>
        <w:drawing>
          <wp:anchor distT="0" distB="0" distL="114300" distR="114300" simplePos="0" relativeHeight="251666432" behindDoc="0" locked="0" layoutInCell="1" allowOverlap="1" wp14:anchorId="12B47D51" wp14:editId="3138569B">
            <wp:simplePos x="0" y="0"/>
            <wp:positionH relativeFrom="margin">
              <wp:posOffset>40005</wp:posOffset>
            </wp:positionH>
            <wp:positionV relativeFrom="margin">
              <wp:posOffset>4659630</wp:posOffset>
            </wp:positionV>
            <wp:extent cx="5574030" cy="3139440"/>
            <wp:effectExtent l="0" t="0" r="26670" b="22860"/>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rsidR="00FB3B79" w:rsidRDefault="00FB3B79" w:rsidP="00FB3B79">
      <w:pPr>
        <w:tabs>
          <w:tab w:val="left" w:pos="0"/>
        </w:tabs>
        <w:spacing w:after="0" w:line="240" w:lineRule="auto"/>
        <w:rPr>
          <w:sz w:val="18"/>
          <w:szCs w:val="18"/>
        </w:rPr>
        <w:sectPr w:rsidR="00FB3B79" w:rsidSect="009961BB">
          <w:type w:val="continuous"/>
          <w:pgSz w:w="12240" w:h="15840"/>
          <w:pgMar w:top="1440" w:right="1350" w:bottom="1440" w:left="2070" w:header="720" w:footer="720" w:gutter="0"/>
          <w:cols w:space="720"/>
          <w:docGrid w:linePitch="360"/>
        </w:sectPr>
      </w:pPr>
      <w:r>
        <w:rPr>
          <w:sz w:val="18"/>
          <w:szCs w:val="18"/>
        </w:rPr>
        <w:t>Source:  Texas A&amp;M Real Estate Research Center</w:t>
      </w:r>
    </w:p>
    <w:p w:rsidR="00E534E7" w:rsidRDefault="0045706E" w:rsidP="0045706E">
      <w:pPr>
        <w:tabs>
          <w:tab w:val="left" w:pos="0"/>
        </w:tabs>
        <w:spacing w:before="120" w:after="120"/>
        <w:rPr>
          <w:rFonts w:ascii="Tahoma" w:hAnsi="Tahoma" w:cs="Tahoma"/>
          <w:sz w:val="28"/>
          <w:szCs w:val="28"/>
        </w:rPr>
        <w:sectPr w:rsidR="00E534E7" w:rsidSect="009961BB">
          <w:type w:val="continuous"/>
          <w:pgSz w:w="12240" w:h="15840"/>
          <w:pgMar w:top="1440" w:right="1350" w:bottom="1440" w:left="2070" w:header="720" w:footer="720" w:gutter="0"/>
          <w:cols w:space="720"/>
          <w:docGrid w:linePitch="360"/>
        </w:sectPr>
      </w:pPr>
      <w:r w:rsidRPr="00E534E7">
        <w:rPr>
          <w:rFonts w:ascii="Tahoma" w:hAnsi="Tahoma" w:cs="Tahoma"/>
          <w:sz w:val="28"/>
          <w:szCs w:val="28"/>
        </w:rPr>
        <w:lastRenderedPageBreak/>
        <w:t>Population</w:t>
      </w:r>
      <w:r w:rsidR="00E534E7" w:rsidRPr="00E534E7">
        <w:rPr>
          <w:rFonts w:ascii="Tahoma" w:hAnsi="Tahoma" w:cs="Tahoma"/>
          <w:sz w:val="28"/>
          <w:szCs w:val="28"/>
        </w:rPr>
        <w:t xml:space="preserve"> </w:t>
      </w:r>
      <w:r w:rsidRPr="00E534E7">
        <w:rPr>
          <w:rFonts w:ascii="Tahoma" w:hAnsi="Tahoma" w:cs="Tahoma"/>
          <w:sz w:val="28"/>
          <w:szCs w:val="28"/>
        </w:rPr>
        <w:t>and Net Migration</w:t>
      </w:r>
    </w:p>
    <w:p w:rsidR="00530975" w:rsidRPr="009F01D3" w:rsidRDefault="001840F1" w:rsidP="00530975">
      <w:pPr>
        <w:tabs>
          <w:tab w:val="left" w:pos="0"/>
        </w:tabs>
        <w:spacing w:after="0" w:line="271" w:lineRule="auto"/>
        <w:jc w:val="both"/>
        <w:rPr>
          <w:rFonts w:ascii="Tahoma" w:hAnsi="Tahoma" w:cs="Tahoma"/>
        </w:rPr>
      </w:pPr>
      <w:r>
        <w:rPr>
          <w:sz w:val="28"/>
          <w:szCs w:val="28"/>
        </w:rPr>
        <w:lastRenderedPageBreak/>
        <w:tab/>
      </w:r>
      <w:r w:rsidRPr="009F01D3">
        <w:rPr>
          <w:rFonts w:ascii="Tahoma" w:hAnsi="Tahoma" w:cs="Tahoma"/>
        </w:rPr>
        <w:t xml:space="preserve">The creation of higher paying jobs in a region </w:t>
      </w:r>
      <w:r w:rsidR="00E574D0" w:rsidRPr="009F01D3">
        <w:rPr>
          <w:rFonts w:ascii="Tahoma" w:hAnsi="Tahoma" w:cs="Tahoma"/>
        </w:rPr>
        <w:t xml:space="preserve">is </w:t>
      </w:r>
      <w:r w:rsidRPr="009F01D3">
        <w:rPr>
          <w:rFonts w:ascii="Tahoma" w:hAnsi="Tahoma" w:cs="Tahoma"/>
        </w:rPr>
        <w:t>a highly competitive process that depends on area resources, infrastructure and amenities</w:t>
      </w:r>
      <w:r w:rsidR="00E574D0" w:rsidRPr="009F01D3">
        <w:rPr>
          <w:rFonts w:ascii="Tahoma" w:hAnsi="Tahoma" w:cs="Tahoma"/>
        </w:rPr>
        <w:t>, geographic location, and often direct inducements to at</w:t>
      </w:r>
      <w:r w:rsidR="002A2ABB">
        <w:rPr>
          <w:rFonts w:ascii="Tahoma" w:hAnsi="Tahoma" w:cs="Tahoma"/>
        </w:rPr>
        <w:t xml:space="preserve">tract potential investors and workers. </w:t>
      </w:r>
      <w:r w:rsidR="002A2ABB">
        <w:rPr>
          <w:rFonts w:ascii="Tahoma" w:hAnsi="Tahoma" w:cs="Tahoma"/>
        </w:rPr>
        <w:tab/>
      </w:r>
      <w:r w:rsidR="00BF62FE" w:rsidRPr="009F01D3">
        <w:rPr>
          <w:rFonts w:ascii="Tahoma" w:hAnsi="Tahoma" w:cs="Tahoma"/>
        </w:rPr>
        <w:t xml:space="preserve">Table 8 </w:t>
      </w:r>
      <w:r w:rsidR="00C46BDF" w:rsidRPr="009F01D3">
        <w:rPr>
          <w:rFonts w:ascii="Tahoma" w:hAnsi="Tahoma" w:cs="Tahoma"/>
        </w:rPr>
        <w:t xml:space="preserve">shows the Texas State Data Center’s projected </w:t>
      </w:r>
      <w:r w:rsidR="00BF62FE" w:rsidRPr="009F01D3">
        <w:rPr>
          <w:rFonts w:ascii="Tahoma" w:hAnsi="Tahoma" w:cs="Tahoma"/>
        </w:rPr>
        <w:t>population in the Wa</w:t>
      </w:r>
      <w:r w:rsidR="005F1D2B" w:rsidRPr="009F01D3">
        <w:rPr>
          <w:rFonts w:ascii="Tahoma" w:hAnsi="Tahoma" w:cs="Tahoma"/>
        </w:rPr>
        <w:t xml:space="preserve">co MSA </w:t>
      </w:r>
      <w:r w:rsidR="00BF62FE" w:rsidRPr="009F01D3">
        <w:rPr>
          <w:rFonts w:ascii="Tahoma" w:hAnsi="Tahoma" w:cs="Tahoma"/>
        </w:rPr>
        <w:t xml:space="preserve">based on </w:t>
      </w:r>
      <w:r w:rsidR="00C46BDF" w:rsidRPr="009F01D3">
        <w:rPr>
          <w:rFonts w:ascii="Tahoma" w:hAnsi="Tahoma" w:cs="Tahoma"/>
        </w:rPr>
        <w:t>the 2000-10 migr</w:t>
      </w:r>
      <w:r w:rsidR="00C46BDF" w:rsidRPr="009F01D3">
        <w:rPr>
          <w:rFonts w:ascii="Tahoma" w:hAnsi="Tahoma" w:cs="Tahoma"/>
        </w:rPr>
        <w:t>a</w:t>
      </w:r>
      <w:r w:rsidR="00C46BDF" w:rsidRPr="009F01D3">
        <w:rPr>
          <w:rFonts w:ascii="Tahoma" w:hAnsi="Tahoma" w:cs="Tahoma"/>
        </w:rPr>
        <w:t>tion rate</w:t>
      </w:r>
      <w:r w:rsidR="002A2ABB">
        <w:rPr>
          <w:rFonts w:ascii="Tahoma" w:hAnsi="Tahoma" w:cs="Tahoma"/>
        </w:rPr>
        <w:t xml:space="preserve"> and 50% of the past 10-year rate over future five-year intervals to the year 2050.</w:t>
      </w:r>
      <w:r w:rsidR="00530975">
        <w:rPr>
          <w:rFonts w:ascii="Tahoma" w:hAnsi="Tahoma" w:cs="Tahoma"/>
        </w:rPr>
        <w:t xml:space="preserve"> </w:t>
      </w:r>
      <w:r w:rsidR="00530975" w:rsidRPr="009F01D3">
        <w:rPr>
          <w:rFonts w:ascii="Tahoma" w:hAnsi="Tahoma" w:cs="Tahoma"/>
        </w:rPr>
        <w:t>According to estimates by the U.S. Census Bureau and Texas A&amp;M Ce</w:t>
      </w:r>
      <w:r w:rsidR="00530975" w:rsidRPr="009F01D3">
        <w:rPr>
          <w:rFonts w:ascii="Tahoma" w:hAnsi="Tahoma" w:cs="Tahoma"/>
        </w:rPr>
        <w:t>n</w:t>
      </w:r>
      <w:r w:rsidR="00530975" w:rsidRPr="009F01D3">
        <w:rPr>
          <w:rFonts w:ascii="Tahoma" w:hAnsi="Tahoma" w:cs="Tahoma"/>
        </w:rPr>
        <w:t xml:space="preserve">ter for Real Estate Research, mid-year population over the past 5 years ending </w:t>
      </w:r>
      <w:r w:rsidR="00530975" w:rsidRPr="009F01D3">
        <w:rPr>
          <w:rFonts w:ascii="Tahoma" w:hAnsi="Tahoma" w:cs="Tahoma"/>
        </w:rPr>
        <w:lastRenderedPageBreak/>
        <w:t xml:space="preserve">in 2014 increased at an average annual rate of 0.86 percent, resulting in Waco MSA population of 260,330 persons.  At the same rate of growth in 2015, Waco MSA mid-year population would number 262,580 that lies between the estimates based on last decade’s average migration rate and 50% of that rate.    </w:t>
      </w:r>
    </w:p>
    <w:p w:rsidR="002A2ABB" w:rsidRDefault="00530975" w:rsidP="00530975">
      <w:pPr>
        <w:tabs>
          <w:tab w:val="left" w:pos="0"/>
          <w:tab w:val="left" w:pos="540"/>
        </w:tabs>
        <w:spacing w:after="0"/>
        <w:jc w:val="both"/>
        <w:rPr>
          <w:rFonts w:ascii="Tahoma" w:hAnsi="Tahoma" w:cs="Tahoma"/>
        </w:rPr>
        <w:sectPr w:rsidR="002A2ABB" w:rsidSect="009F01D3">
          <w:type w:val="continuous"/>
          <w:pgSz w:w="12240" w:h="15840"/>
          <w:pgMar w:top="1440" w:right="1350" w:bottom="1440" w:left="2070" w:header="720" w:footer="720" w:gutter="0"/>
          <w:cols w:num="2" w:space="720"/>
          <w:docGrid w:linePitch="360"/>
        </w:sectPr>
      </w:pPr>
      <w:r w:rsidRPr="009F01D3">
        <w:rPr>
          <w:rFonts w:ascii="Tahoma" w:hAnsi="Tahoma" w:cs="Tahoma"/>
        </w:rPr>
        <w:tab/>
        <w:t>An area that is adding rapidly to its population is generally characterized by growth in employment opportunities that exceeds the regional average.  Interes</w:t>
      </w:r>
      <w:r w:rsidRPr="009F01D3">
        <w:rPr>
          <w:rFonts w:ascii="Tahoma" w:hAnsi="Tahoma" w:cs="Tahoma"/>
        </w:rPr>
        <w:t>t</w:t>
      </w:r>
      <w:r w:rsidRPr="009F01D3">
        <w:rPr>
          <w:rFonts w:ascii="Tahoma" w:hAnsi="Tahoma" w:cs="Tahoma"/>
        </w:rPr>
        <w:t>ingly, during the period from 2009 to 2011 Waco’s population increased at an</w:t>
      </w:r>
      <w:r w:rsidRPr="00530975">
        <w:rPr>
          <w:rFonts w:ascii="Tahoma" w:hAnsi="Tahoma" w:cs="Tahoma"/>
        </w:rPr>
        <w:t xml:space="preserve"> </w:t>
      </w:r>
      <w:r w:rsidRPr="009F01D3">
        <w:rPr>
          <w:rFonts w:ascii="Tahoma" w:hAnsi="Tahoma" w:cs="Tahoma"/>
        </w:rPr>
        <w:t xml:space="preserve">average </w:t>
      </w:r>
      <w:r>
        <w:rPr>
          <w:rFonts w:ascii="Tahoma" w:hAnsi="Tahoma" w:cs="Tahoma"/>
        </w:rPr>
        <w:t xml:space="preserve">annual </w:t>
      </w:r>
      <w:r w:rsidRPr="009F01D3">
        <w:rPr>
          <w:rFonts w:ascii="Tahoma" w:hAnsi="Tahoma" w:cs="Tahoma"/>
        </w:rPr>
        <w:t>rate of 1.2%, but from</w:t>
      </w:r>
    </w:p>
    <w:p w:rsidR="006B2983" w:rsidRPr="009F01D3" w:rsidRDefault="006B2983" w:rsidP="002A2ABB">
      <w:pPr>
        <w:tabs>
          <w:tab w:val="left" w:pos="0"/>
          <w:tab w:val="left" w:pos="540"/>
        </w:tabs>
        <w:spacing w:before="120" w:after="0"/>
        <w:jc w:val="center"/>
        <w:rPr>
          <w:rFonts w:ascii="Tahoma" w:hAnsi="Tahoma" w:cs="Tahoma"/>
        </w:rPr>
      </w:pPr>
      <w:r w:rsidRPr="009F01D3">
        <w:rPr>
          <w:rFonts w:ascii="Tahoma" w:hAnsi="Tahoma" w:cs="Tahoma"/>
        </w:rPr>
        <w:lastRenderedPageBreak/>
        <w:t xml:space="preserve">Table </w:t>
      </w:r>
      <w:r w:rsidR="005F1D2B" w:rsidRPr="009F01D3">
        <w:rPr>
          <w:rFonts w:ascii="Tahoma" w:hAnsi="Tahoma" w:cs="Tahoma"/>
        </w:rPr>
        <w:t>8</w:t>
      </w:r>
    </w:p>
    <w:p w:rsidR="006B2983" w:rsidRDefault="006B2983" w:rsidP="002A2ABB">
      <w:pPr>
        <w:tabs>
          <w:tab w:val="left" w:pos="0"/>
        </w:tabs>
        <w:spacing w:after="0" w:line="240" w:lineRule="auto"/>
        <w:jc w:val="center"/>
        <w:rPr>
          <w:rFonts w:ascii="Tahoma" w:hAnsi="Tahoma" w:cs="Tahoma"/>
        </w:rPr>
      </w:pPr>
      <w:r w:rsidRPr="009F01D3">
        <w:rPr>
          <w:rFonts w:ascii="Tahoma" w:hAnsi="Tahoma" w:cs="Tahoma"/>
        </w:rPr>
        <w:t>Projected Population in the Waco MSA 2015 – 2050</w:t>
      </w:r>
    </w:p>
    <w:p w:rsidR="00C51788" w:rsidRPr="00C51788" w:rsidRDefault="00C51788" w:rsidP="002A2ABB">
      <w:pPr>
        <w:tabs>
          <w:tab w:val="left" w:pos="0"/>
        </w:tabs>
        <w:spacing w:after="0" w:line="240" w:lineRule="auto"/>
        <w:jc w:val="center"/>
        <w:rPr>
          <w:rFonts w:ascii="Tahoma" w:hAnsi="Tahoma" w:cs="Tahoma"/>
          <w:sz w:val="16"/>
          <w:szCs w:val="16"/>
        </w:rPr>
      </w:pPr>
    </w:p>
    <w:tbl>
      <w:tblPr>
        <w:tblStyle w:val="LightList-Accent5"/>
        <w:tblW w:w="8928" w:type="dxa"/>
        <w:tblLook w:val="04A0" w:firstRow="1" w:lastRow="0" w:firstColumn="1" w:lastColumn="0" w:noHBand="0" w:noVBand="1"/>
      </w:tblPr>
      <w:tblGrid>
        <w:gridCol w:w="2360"/>
        <w:gridCol w:w="1255"/>
        <w:gridCol w:w="1800"/>
        <w:gridCol w:w="1893"/>
        <w:gridCol w:w="1620"/>
      </w:tblGrid>
      <w:tr w:rsidR="00C46BDF" w:rsidRPr="009F01D3" w:rsidTr="00C51788">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2360" w:type="dxa"/>
            <w:shd w:val="clear" w:color="auto" w:fill="FFFFFF" w:themeFill="background1"/>
            <w:hideMark/>
          </w:tcPr>
          <w:p w:rsidR="00C46BDF" w:rsidRPr="002A2ABB" w:rsidRDefault="00C46BDF" w:rsidP="002A2ABB">
            <w:pPr>
              <w:jc w:val="center"/>
              <w:rPr>
                <w:rFonts w:ascii="Tahoma" w:eastAsia="Times New Roman" w:hAnsi="Tahoma" w:cs="Tahoma"/>
                <w:b w:val="0"/>
                <w:color w:val="auto"/>
              </w:rPr>
            </w:pPr>
            <w:r w:rsidRPr="002A2ABB">
              <w:rPr>
                <w:rFonts w:ascii="Tahoma" w:eastAsia="Times New Roman" w:hAnsi="Tahoma" w:cs="Tahoma"/>
                <w:b w:val="0"/>
                <w:color w:val="auto"/>
              </w:rPr>
              <w:t>Migration Rate</w:t>
            </w:r>
          </w:p>
        </w:tc>
        <w:tc>
          <w:tcPr>
            <w:tcW w:w="1255" w:type="dxa"/>
            <w:shd w:val="clear" w:color="auto" w:fill="FFFFFF" w:themeFill="background1"/>
            <w:hideMark/>
          </w:tcPr>
          <w:p w:rsidR="00C46BDF" w:rsidRPr="002A2ABB" w:rsidRDefault="00C46BDF" w:rsidP="002A2ABB">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color w:val="auto"/>
              </w:rPr>
            </w:pPr>
            <w:r w:rsidRPr="002A2ABB">
              <w:rPr>
                <w:rFonts w:ascii="Tahoma" w:eastAsia="Times New Roman" w:hAnsi="Tahoma" w:cs="Tahoma"/>
                <w:b w:val="0"/>
                <w:color w:val="auto"/>
              </w:rPr>
              <w:t>Year</w:t>
            </w:r>
          </w:p>
        </w:tc>
        <w:tc>
          <w:tcPr>
            <w:tcW w:w="1800" w:type="dxa"/>
            <w:shd w:val="clear" w:color="auto" w:fill="FFFFFF" w:themeFill="background1"/>
            <w:hideMark/>
          </w:tcPr>
          <w:p w:rsidR="00C46BDF" w:rsidRPr="002A2ABB" w:rsidRDefault="00C46BDF" w:rsidP="002A2ABB">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color w:val="auto"/>
              </w:rPr>
            </w:pPr>
            <w:r w:rsidRPr="002A2ABB">
              <w:rPr>
                <w:rFonts w:ascii="Tahoma" w:eastAsia="Times New Roman" w:hAnsi="Tahoma" w:cs="Tahoma"/>
                <w:b w:val="0"/>
                <w:color w:val="auto"/>
              </w:rPr>
              <w:t>Age</w:t>
            </w:r>
          </w:p>
        </w:tc>
        <w:tc>
          <w:tcPr>
            <w:tcW w:w="1893" w:type="dxa"/>
            <w:shd w:val="clear" w:color="auto" w:fill="FFFFFF" w:themeFill="background1"/>
            <w:hideMark/>
          </w:tcPr>
          <w:p w:rsidR="00C46BDF" w:rsidRPr="002A2ABB" w:rsidRDefault="00C46BDF" w:rsidP="002A2ABB">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color w:val="auto"/>
              </w:rPr>
            </w:pPr>
            <w:r w:rsidRPr="002A2ABB">
              <w:rPr>
                <w:rFonts w:ascii="Tahoma" w:eastAsia="Times New Roman" w:hAnsi="Tahoma" w:cs="Tahoma"/>
                <w:b w:val="0"/>
                <w:color w:val="auto"/>
              </w:rPr>
              <w:t>Total Pop</w:t>
            </w:r>
          </w:p>
        </w:tc>
        <w:tc>
          <w:tcPr>
            <w:tcW w:w="1620" w:type="dxa"/>
            <w:shd w:val="clear" w:color="auto" w:fill="FFFFFF" w:themeFill="background1"/>
            <w:hideMark/>
          </w:tcPr>
          <w:p w:rsidR="00C46BDF" w:rsidRPr="002A2ABB" w:rsidRDefault="00C51788" w:rsidP="00C51788">
            <w:pPr>
              <w:ind w:left="-195" w:right="-111" w:firstLine="195"/>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color w:val="auto"/>
              </w:rPr>
            </w:pPr>
            <w:r>
              <w:rPr>
                <w:rFonts w:ascii="Tahoma" w:eastAsia="Times New Roman" w:hAnsi="Tahoma" w:cs="Tahoma"/>
                <w:b w:val="0"/>
                <w:color w:val="auto"/>
              </w:rPr>
              <w:t>Annual % ch</w:t>
            </w:r>
            <w:r w:rsidR="00C46BDF" w:rsidRPr="002A2ABB">
              <w:rPr>
                <w:rFonts w:ascii="Tahoma" w:eastAsia="Times New Roman" w:hAnsi="Tahoma" w:cs="Tahoma"/>
                <w:b w:val="0"/>
                <w:color w:val="auto"/>
              </w:rPr>
              <w:t>g</w:t>
            </w:r>
            <w:r>
              <w:rPr>
                <w:rFonts w:ascii="Tahoma" w:eastAsia="Times New Roman" w:hAnsi="Tahoma" w:cs="Tahoma"/>
                <w:b w:val="0"/>
                <w:color w:val="auto"/>
              </w:rPr>
              <w:t>.</w:t>
            </w:r>
          </w:p>
        </w:tc>
      </w:tr>
      <w:tr w:rsidR="00C46BDF" w:rsidRPr="009F01D3" w:rsidTr="00C5178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60" w:type="dxa"/>
            <w:hideMark/>
          </w:tcPr>
          <w:p w:rsidR="00C46BDF" w:rsidRPr="002A2ABB" w:rsidRDefault="00C46BDF" w:rsidP="00C51788">
            <w:pPr>
              <w:jc w:val="center"/>
              <w:rPr>
                <w:rFonts w:ascii="Tahoma" w:eastAsia="Times New Roman" w:hAnsi="Tahoma" w:cs="Tahoma"/>
                <w:b w:val="0"/>
              </w:rPr>
            </w:pPr>
            <w:r w:rsidRPr="002A2ABB">
              <w:rPr>
                <w:rFonts w:ascii="Tahoma" w:eastAsia="Times New Roman" w:hAnsi="Tahoma" w:cs="Tahoma"/>
                <w:b w:val="0"/>
              </w:rPr>
              <w:t>2000-2010</w:t>
            </w:r>
          </w:p>
        </w:tc>
        <w:tc>
          <w:tcPr>
            <w:tcW w:w="1255"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2010</w:t>
            </w:r>
          </w:p>
        </w:tc>
        <w:tc>
          <w:tcPr>
            <w:tcW w:w="1800"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All (0-85+)</w:t>
            </w:r>
          </w:p>
        </w:tc>
        <w:tc>
          <w:tcPr>
            <w:tcW w:w="1893"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252,772</w:t>
            </w:r>
          </w:p>
        </w:tc>
        <w:tc>
          <w:tcPr>
            <w:tcW w:w="1620" w:type="dxa"/>
            <w:noWrap/>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 </w:t>
            </w:r>
          </w:p>
        </w:tc>
      </w:tr>
      <w:tr w:rsidR="00C46BDF" w:rsidRPr="009F01D3" w:rsidTr="00C51788">
        <w:trPr>
          <w:trHeight w:val="315"/>
        </w:trPr>
        <w:tc>
          <w:tcPr>
            <w:cnfStyle w:val="001000000000" w:firstRow="0" w:lastRow="0" w:firstColumn="1" w:lastColumn="0" w:oddVBand="0" w:evenVBand="0" w:oddHBand="0" w:evenHBand="0" w:firstRowFirstColumn="0" w:firstRowLastColumn="0" w:lastRowFirstColumn="0" w:lastRowLastColumn="0"/>
            <w:tcW w:w="2360" w:type="dxa"/>
            <w:hideMark/>
          </w:tcPr>
          <w:p w:rsidR="00C46BDF" w:rsidRPr="002A2ABB" w:rsidRDefault="00C46BDF" w:rsidP="00C51788">
            <w:pPr>
              <w:jc w:val="center"/>
              <w:rPr>
                <w:rFonts w:ascii="Tahoma" w:eastAsia="Times New Roman" w:hAnsi="Tahoma" w:cs="Tahoma"/>
                <w:b w:val="0"/>
              </w:rPr>
            </w:pPr>
            <w:r w:rsidRPr="002A2ABB">
              <w:rPr>
                <w:rFonts w:ascii="Tahoma" w:eastAsia="Times New Roman" w:hAnsi="Tahoma" w:cs="Tahoma"/>
                <w:b w:val="0"/>
              </w:rPr>
              <w:t>2000-2010</w:t>
            </w:r>
          </w:p>
        </w:tc>
        <w:tc>
          <w:tcPr>
            <w:tcW w:w="1255"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2015</w:t>
            </w:r>
          </w:p>
        </w:tc>
        <w:tc>
          <w:tcPr>
            <w:tcW w:w="1800"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All (0-85+)</w:t>
            </w:r>
          </w:p>
        </w:tc>
        <w:tc>
          <w:tcPr>
            <w:tcW w:w="1893"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263,208</w:t>
            </w:r>
          </w:p>
        </w:tc>
        <w:tc>
          <w:tcPr>
            <w:tcW w:w="1620" w:type="dxa"/>
            <w:noWrap/>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0.81</w:t>
            </w:r>
          </w:p>
        </w:tc>
      </w:tr>
      <w:tr w:rsidR="00C46BDF" w:rsidRPr="009F01D3" w:rsidTr="00C517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0" w:type="dxa"/>
            <w:hideMark/>
          </w:tcPr>
          <w:p w:rsidR="00C46BDF" w:rsidRPr="002A2ABB" w:rsidRDefault="00C46BDF" w:rsidP="00C51788">
            <w:pPr>
              <w:jc w:val="center"/>
              <w:rPr>
                <w:rFonts w:ascii="Tahoma" w:eastAsia="Times New Roman" w:hAnsi="Tahoma" w:cs="Tahoma"/>
                <w:b w:val="0"/>
              </w:rPr>
            </w:pPr>
            <w:r w:rsidRPr="002A2ABB">
              <w:rPr>
                <w:rFonts w:ascii="Tahoma" w:eastAsia="Times New Roman" w:hAnsi="Tahoma" w:cs="Tahoma"/>
                <w:b w:val="0"/>
              </w:rPr>
              <w:t>2000-2010</w:t>
            </w:r>
          </w:p>
        </w:tc>
        <w:tc>
          <w:tcPr>
            <w:tcW w:w="1255"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2020</w:t>
            </w:r>
          </w:p>
        </w:tc>
        <w:tc>
          <w:tcPr>
            <w:tcW w:w="1800"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All (0-85+)</w:t>
            </w:r>
          </w:p>
        </w:tc>
        <w:tc>
          <w:tcPr>
            <w:tcW w:w="1893"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274,757</w:t>
            </w:r>
          </w:p>
        </w:tc>
        <w:tc>
          <w:tcPr>
            <w:tcW w:w="1620" w:type="dxa"/>
            <w:noWrap/>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0.86</w:t>
            </w:r>
          </w:p>
        </w:tc>
      </w:tr>
      <w:tr w:rsidR="00C46BDF" w:rsidRPr="009F01D3" w:rsidTr="00C51788">
        <w:trPr>
          <w:trHeight w:val="315"/>
        </w:trPr>
        <w:tc>
          <w:tcPr>
            <w:cnfStyle w:val="001000000000" w:firstRow="0" w:lastRow="0" w:firstColumn="1" w:lastColumn="0" w:oddVBand="0" w:evenVBand="0" w:oddHBand="0" w:evenHBand="0" w:firstRowFirstColumn="0" w:firstRowLastColumn="0" w:lastRowFirstColumn="0" w:lastRowLastColumn="0"/>
            <w:tcW w:w="2360" w:type="dxa"/>
            <w:hideMark/>
          </w:tcPr>
          <w:p w:rsidR="00C46BDF" w:rsidRPr="002A2ABB" w:rsidRDefault="00C46BDF" w:rsidP="00C51788">
            <w:pPr>
              <w:jc w:val="center"/>
              <w:rPr>
                <w:rFonts w:ascii="Tahoma" w:eastAsia="Times New Roman" w:hAnsi="Tahoma" w:cs="Tahoma"/>
                <w:b w:val="0"/>
              </w:rPr>
            </w:pPr>
            <w:r w:rsidRPr="002A2ABB">
              <w:rPr>
                <w:rFonts w:ascii="Tahoma" w:eastAsia="Times New Roman" w:hAnsi="Tahoma" w:cs="Tahoma"/>
                <w:b w:val="0"/>
              </w:rPr>
              <w:t>2000-2010</w:t>
            </w:r>
          </w:p>
        </w:tc>
        <w:tc>
          <w:tcPr>
            <w:tcW w:w="1255"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2025</w:t>
            </w:r>
          </w:p>
        </w:tc>
        <w:tc>
          <w:tcPr>
            <w:tcW w:w="1800"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All (0-85+)</w:t>
            </w:r>
          </w:p>
        </w:tc>
        <w:tc>
          <w:tcPr>
            <w:tcW w:w="1893"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287,879</w:t>
            </w:r>
          </w:p>
        </w:tc>
        <w:tc>
          <w:tcPr>
            <w:tcW w:w="1620" w:type="dxa"/>
            <w:noWrap/>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0.94</w:t>
            </w:r>
          </w:p>
        </w:tc>
      </w:tr>
      <w:tr w:rsidR="00C46BDF" w:rsidRPr="009F01D3" w:rsidTr="00C517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0" w:type="dxa"/>
            <w:hideMark/>
          </w:tcPr>
          <w:p w:rsidR="00C46BDF" w:rsidRPr="002A2ABB" w:rsidRDefault="00C46BDF" w:rsidP="00C51788">
            <w:pPr>
              <w:jc w:val="center"/>
              <w:rPr>
                <w:rFonts w:ascii="Tahoma" w:eastAsia="Times New Roman" w:hAnsi="Tahoma" w:cs="Tahoma"/>
                <w:b w:val="0"/>
              </w:rPr>
            </w:pPr>
            <w:r w:rsidRPr="002A2ABB">
              <w:rPr>
                <w:rFonts w:ascii="Tahoma" w:eastAsia="Times New Roman" w:hAnsi="Tahoma" w:cs="Tahoma"/>
                <w:b w:val="0"/>
              </w:rPr>
              <w:t>2000-2010</w:t>
            </w:r>
          </w:p>
        </w:tc>
        <w:tc>
          <w:tcPr>
            <w:tcW w:w="1255"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2030</w:t>
            </w:r>
          </w:p>
        </w:tc>
        <w:tc>
          <w:tcPr>
            <w:tcW w:w="1800"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All (0-85+)</w:t>
            </w:r>
          </w:p>
        </w:tc>
        <w:tc>
          <w:tcPr>
            <w:tcW w:w="1893"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301,130</w:t>
            </w:r>
          </w:p>
        </w:tc>
        <w:tc>
          <w:tcPr>
            <w:tcW w:w="1620" w:type="dxa"/>
            <w:noWrap/>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0.90</w:t>
            </w:r>
          </w:p>
        </w:tc>
      </w:tr>
      <w:tr w:rsidR="00C46BDF" w:rsidRPr="009F01D3" w:rsidTr="00C51788">
        <w:trPr>
          <w:trHeight w:val="315"/>
        </w:trPr>
        <w:tc>
          <w:tcPr>
            <w:cnfStyle w:val="001000000000" w:firstRow="0" w:lastRow="0" w:firstColumn="1" w:lastColumn="0" w:oddVBand="0" w:evenVBand="0" w:oddHBand="0" w:evenHBand="0" w:firstRowFirstColumn="0" w:firstRowLastColumn="0" w:lastRowFirstColumn="0" w:lastRowLastColumn="0"/>
            <w:tcW w:w="2360" w:type="dxa"/>
            <w:hideMark/>
          </w:tcPr>
          <w:p w:rsidR="00C46BDF" w:rsidRPr="002A2ABB" w:rsidRDefault="00C46BDF" w:rsidP="00C51788">
            <w:pPr>
              <w:jc w:val="center"/>
              <w:rPr>
                <w:rFonts w:ascii="Tahoma" w:eastAsia="Times New Roman" w:hAnsi="Tahoma" w:cs="Tahoma"/>
                <w:b w:val="0"/>
              </w:rPr>
            </w:pPr>
            <w:r w:rsidRPr="002A2ABB">
              <w:rPr>
                <w:rFonts w:ascii="Tahoma" w:eastAsia="Times New Roman" w:hAnsi="Tahoma" w:cs="Tahoma"/>
                <w:b w:val="0"/>
              </w:rPr>
              <w:t>2000-2010</w:t>
            </w:r>
          </w:p>
        </w:tc>
        <w:tc>
          <w:tcPr>
            <w:tcW w:w="1255"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2035</w:t>
            </w:r>
          </w:p>
        </w:tc>
        <w:tc>
          <w:tcPr>
            <w:tcW w:w="1800"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All (0-85+)</w:t>
            </w:r>
          </w:p>
        </w:tc>
        <w:tc>
          <w:tcPr>
            <w:tcW w:w="1893"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313,061</w:t>
            </w:r>
          </w:p>
        </w:tc>
        <w:tc>
          <w:tcPr>
            <w:tcW w:w="1620" w:type="dxa"/>
            <w:noWrap/>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0.78</w:t>
            </w:r>
          </w:p>
        </w:tc>
      </w:tr>
      <w:tr w:rsidR="00C46BDF" w:rsidRPr="009F01D3" w:rsidTr="00C517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0" w:type="dxa"/>
            <w:hideMark/>
          </w:tcPr>
          <w:p w:rsidR="00C46BDF" w:rsidRPr="002A2ABB" w:rsidRDefault="00C46BDF" w:rsidP="00C51788">
            <w:pPr>
              <w:jc w:val="center"/>
              <w:rPr>
                <w:rFonts w:ascii="Tahoma" w:eastAsia="Times New Roman" w:hAnsi="Tahoma" w:cs="Tahoma"/>
                <w:b w:val="0"/>
              </w:rPr>
            </w:pPr>
            <w:r w:rsidRPr="002A2ABB">
              <w:rPr>
                <w:rFonts w:ascii="Tahoma" w:eastAsia="Times New Roman" w:hAnsi="Tahoma" w:cs="Tahoma"/>
                <w:b w:val="0"/>
              </w:rPr>
              <w:t>2000-2010</w:t>
            </w:r>
          </w:p>
        </w:tc>
        <w:tc>
          <w:tcPr>
            <w:tcW w:w="1255"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2040</w:t>
            </w:r>
          </w:p>
        </w:tc>
        <w:tc>
          <w:tcPr>
            <w:tcW w:w="1800"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All (0-85+)</w:t>
            </w:r>
          </w:p>
        </w:tc>
        <w:tc>
          <w:tcPr>
            <w:tcW w:w="1893"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324,043</w:t>
            </w:r>
          </w:p>
        </w:tc>
        <w:tc>
          <w:tcPr>
            <w:tcW w:w="1620" w:type="dxa"/>
            <w:noWrap/>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0.69</w:t>
            </w:r>
          </w:p>
        </w:tc>
      </w:tr>
      <w:tr w:rsidR="00C46BDF" w:rsidRPr="009F01D3" w:rsidTr="00C51788">
        <w:trPr>
          <w:trHeight w:val="315"/>
        </w:trPr>
        <w:tc>
          <w:tcPr>
            <w:cnfStyle w:val="001000000000" w:firstRow="0" w:lastRow="0" w:firstColumn="1" w:lastColumn="0" w:oddVBand="0" w:evenVBand="0" w:oddHBand="0" w:evenHBand="0" w:firstRowFirstColumn="0" w:firstRowLastColumn="0" w:lastRowFirstColumn="0" w:lastRowLastColumn="0"/>
            <w:tcW w:w="2360" w:type="dxa"/>
            <w:hideMark/>
          </w:tcPr>
          <w:p w:rsidR="00C46BDF" w:rsidRPr="002A2ABB" w:rsidRDefault="00C46BDF" w:rsidP="00C51788">
            <w:pPr>
              <w:jc w:val="center"/>
              <w:rPr>
                <w:rFonts w:ascii="Tahoma" w:eastAsia="Times New Roman" w:hAnsi="Tahoma" w:cs="Tahoma"/>
                <w:b w:val="0"/>
              </w:rPr>
            </w:pPr>
            <w:r w:rsidRPr="002A2ABB">
              <w:rPr>
                <w:rFonts w:ascii="Tahoma" w:eastAsia="Times New Roman" w:hAnsi="Tahoma" w:cs="Tahoma"/>
                <w:b w:val="0"/>
              </w:rPr>
              <w:t>2000-2010</w:t>
            </w:r>
          </w:p>
        </w:tc>
        <w:tc>
          <w:tcPr>
            <w:tcW w:w="1255"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2045</w:t>
            </w:r>
          </w:p>
        </w:tc>
        <w:tc>
          <w:tcPr>
            <w:tcW w:w="1800"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All (0-85+)</w:t>
            </w:r>
          </w:p>
        </w:tc>
        <w:tc>
          <w:tcPr>
            <w:tcW w:w="1893"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335,007</w:t>
            </w:r>
          </w:p>
        </w:tc>
        <w:tc>
          <w:tcPr>
            <w:tcW w:w="1620" w:type="dxa"/>
            <w:noWrap/>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0.67</w:t>
            </w:r>
          </w:p>
        </w:tc>
      </w:tr>
      <w:tr w:rsidR="00C46BDF" w:rsidRPr="009F01D3" w:rsidTr="00C517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0" w:type="dxa"/>
            <w:hideMark/>
          </w:tcPr>
          <w:p w:rsidR="00C46BDF" w:rsidRPr="002A2ABB" w:rsidRDefault="00C46BDF" w:rsidP="00C51788">
            <w:pPr>
              <w:jc w:val="center"/>
              <w:rPr>
                <w:rFonts w:ascii="Tahoma" w:eastAsia="Times New Roman" w:hAnsi="Tahoma" w:cs="Tahoma"/>
                <w:b w:val="0"/>
              </w:rPr>
            </w:pPr>
            <w:r w:rsidRPr="002A2ABB">
              <w:rPr>
                <w:rFonts w:ascii="Tahoma" w:eastAsia="Times New Roman" w:hAnsi="Tahoma" w:cs="Tahoma"/>
                <w:b w:val="0"/>
              </w:rPr>
              <w:t>2000-2010</w:t>
            </w:r>
          </w:p>
        </w:tc>
        <w:tc>
          <w:tcPr>
            <w:tcW w:w="1255"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2050</w:t>
            </w:r>
          </w:p>
        </w:tc>
        <w:tc>
          <w:tcPr>
            <w:tcW w:w="1800"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All (0-85+)</w:t>
            </w:r>
          </w:p>
        </w:tc>
        <w:tc>
          <w:tcPr>
            <w:tcW w:w="1893"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346,550</w:t>
            </w:r>
          </w:p>
        </w:tc>
        <w:tc>
          <w:tcPr>
            <w:tcW w:w="1620" w:type="dxa"/>
            <w:noWrap/>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0.68</w:t>
            </w:r>
          </w:p>
        </w:tc>
      </w:tr>
      <w:tr w:rsidR="00C46BDF" w:rsidRPr="009F01D3" w:rsidTr="00C51788">
        <w:trPr>
          <w:trHeight w:val="270"/>
        </w:trPr>
        <w:tc>
          <w:tcPr>
            <w:cnfStyle w:val="001000000000" w:firstRow="0" w:lastRow="0" w:firstColumn="1" w:lastColumn="0" w:oddVBand="0" w:evenVBand="0" w:oddHBand="0" w:evenHBand="0" w:firstRowFirstColumn="0" w:firstRowLastColumn="0" w:lastRowFirstColumn="0" w:lastRowLastColumn="0"/>
            <w:tcW w:w="2360" w:type="dxa"/>
            <w:hideMark/>
          </w:tcPr>
          <w:p w:rsidR="00C46BDF" w:rsidRPr="002A2ABB" w:rsidRDefault="00C46BDF" w:rsidP="00C51788">
            <w:pPr>
              <w:jc w:val="center"/>
              <w:rPr>
                <w:rFonts w:ascii="Tahoma" w:eastAsia="Times New Roman" w:hAnsi="Tahoma" w:cs="Tahoma"/>
                <w:b w:val="0"/>
              </w:rPr>
            </w:pPr>
            <w:r w:rsidRPr="002A2ABB">
              <w:rPr>
                <w:rFonts w:ascii="Tahoma" w:eastAsia="Times New Roman" w:hAnsi="Tahoma" w:cs="Tahoma"/>
                <w:b w:val="0"/>
              </w:rPr>
              <w:t>0.5 x 2000-2010</w:t>
            </w:r>
          </w:p>
        </w:tc>
        <w:tc>
          <w:tcPr>
            <w:tcW w:w="1255"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2010</w:t>
            </w:r>
          </w:p>
        </w:tc>
        <w:tc>
          <w:tcPr>
            <w:tcW w:w="1800"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All (0-85+)</w:t>
            </w:r>
          </w:p>
        </w:tc>
        <w:tc>
          <w:tcPr>
            <w:tcW w:w="1893"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252,772</w:t>
            </w:r>
          </w:p>
        </w:tc>
        <w:tc>
          <w:tcPr>
            <w:tcW w:w="1620" w:type="dxa"/>
            <w:noWrap/>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 </w:t>
            </w:r>
          </w:p>
        </w:tc>
      </w:tr>
      <w:tr w:rsidR="00C46BDF" w:rsidRPr="009F01D3" w:rsidTr="00C517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0" w:type="dxa"/>
            <w:hideMark/>
          </w:tcPr>
          <w:p w:rsidR="00C46BDF" w:rsidRPr="002A2ABB" w:rsidRDefault="00C46BDF" w:rsidP="00C51788">
            <w:pPr>
              <w:jc w:val="center"/>
              <w:rPr>
                <w:rFonts w:ascii="Tahoma" w:eastAsia="Times New Roman" w:hAnsi="Tahoma" w:cs="Tahoma"/>
                <w:b w:val="0"/>
              </w:rPr>
            </w:pPr>
            <w:r w:rsidRPr="002A2ABB">
              <w:rPr>
                <w:rFonts w:ascii="Tahoma" w:eastAsia="Times New Roman" w:hAnsi="Tahoma" w:cs="Tahoma"/>
                <w:b w:val="0"/>
              </w:rPr>
              <w:t>0.5 x 2000-2010</w:t>
            </w:r>
          </w:p>
        </w:tc>
        <w:tc>
          <w:tcPr>
            <w:tcW w:w="1255"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2015</w:t>
            </w:r>
          </w:p>
        </w:tc>
        <w:tc>
          <w:tcPr>
            <w:tcW w:w="1800"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All (0-85+)</w:t>
            </w:r>
          </w:p>
        </w:tc>
        <w:tc>
          <w:tcPr>
            <w:tcW w:w="1893"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261,563</w:t>
            </w:r>
          </w:p>
        </w:tc>
        <w:tc>
          <w:tcPr>
            <w:tcW w:w="1620" w:type="dxa"/>
            <w:noWrap/>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0.69</w:t>
            </w:r>
          </w:p>
        </w:tc>
      </w:tr>
      <w:tr w:rsidR="00C46BDF" w:rsidRPr="009F01D3" w:rsidTr="00C51788">
        <w:trPr>
          <w:trHeight w:val="315"/>
        </w:trPr>
        <w:tc>
          <w:tcPr>
            <w:cnfStyle w:val="001000000000" w:firstRow="0" w:lastRow="0" w:firstColumn="1" w:lastColumn="0" w:oddVBand="0" w:evenVBand="0" w:oddHBand="0" w:evenHBand="0" w:firstRowFirstColumn="0" w:firstRowLastColumn="0" w:lastRowFirstColumn="0" w:lastRowLastColumn="0"/>
            <w:tcW w:w="2360" w:type="dxa"/>
            <w:hideMark/>
          </w:tcPr>
          <w:p w:rsidR="00C46BDF" w:rsidRPr="002A2ABB" w:rsidRDefault="00C46BDF" w:rsidP="00C51788">
            <w:pPr>
              <w:jc w:val="center"/>
              <w:rPr>
                <w:rFonts w:ascii="Tahoma" w:eastAsia="Times New Roman" w:hAnsi="Tahoma" w:cs="Tahoma"/>
                <w:b w:val="0"/>
              </w:rPr>
            </w:pPr>
            <w:r w:rsidRPr="002A2ABB">
              <w:rPr>
                <w:rFonts w:ascii="Tahoma" w:eastAsia="Times New Roman" w:hAnsi="Tahoma" w:cs="Tahoma"/>
                <w:b w:val="0"/>
              </w:rPr>
              <w:t xml:space="preserve">0.5 x </w:t>
            </w:r>
            <w:r w:rsidR="00A6008D" w:rsidRPr="002A2ABB">
              <w:rPr>
                <w:rFonts w:ascii="Tahoma" w:eastAsia="Times New Roman" w:hAnsi="Tahoma" w:cs="Tahoma"/>
                <w:b w:val="0"/>
              </w:rPr>
              <w:t>2</w:t>
            </w:r>
            <w:r w:rsidRPr="002A2ABB">
              <w:rPr>
                <w:rFonts w:ascii="Tahoma" w:eastAsia="Times New Roman" w:hAnsi="Tahoma" w:cs="Tahoma"/>
                <w:b w:val="0"/>
              </w:rPr>
              <w:t>000-2010</w:t>
            </w:r>
          </w:p>
        </w:tc>
        <w:tc>
          <w:tcPr>
            <w:tcW w:w="1255"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2020</w:t>
            </w:r>
          </w:p>
        </w:tc>
        <w:tc>
          <w:tcPr>
            <w:tcW w:w="1800"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All (0-85+)</w:t>
            </w:r>
          </w:p>
        </w:tc>
        <w:tc>
          <w:tcPr>
            <w:tcW w:w="1893"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271,168</w:t>
            </w:r>
          </w:p>
        </w:tc>
        <w:tc>
          <w:tcPr>
            <w:tcW w:w="1620" w:type="dxa"/>
            <w:noWrap/>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0.72</w:t>
            </w:r>
          </w:p>
        </w:tc>
      </w:tr>
      <w:tr w:rsidR="00C46BDF" w:rsidRPr="009F01D3" w:rsidTr="00C517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0" w:type="dxa"/>
            <w:hideMark/>
          </w:tcPr>
          <w:p w:rsidR="00C46BDF" w:rsidRPr="002A2ABB" w:rsidRDefault="00C46BDF" w:rsidP="00C51788">
            <w:pPr>
              <w:jc w:val="center"/>
              <w:rPr>
                <w:rFonts w:ascii="Tahoma" w:eastAsia="Times New Roman" w:hAnsi="Tahoma" w:cs="Tahoma"/>
                <w:b w:val="0"/>
              </w:rPr>
            </w:pPr>
            <w:r w:rsidRPr="002A2ABB">
              <w:rPr>
                <w:rFonts w:ascii="Tahoma" w:eastAsia="Times New Roman" w:hAnsi="Tahoma" w:cs="Tahoma"/>
                <w:b w:val="0"/>
              </w:rPr>
              <w:t>0.5 x 2000-2010</w:t>
            </w:r>
          </w:p>
        </w:tc>
        <w:tc>
          <w:tcPr>
            <w:tcW w:w="1255"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2025</w:t>
            </w:r>
          </w:p>
        </w:tc>
        <w:tc>
          <w:tcPr>
            <w:tcW w:w="1800"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All (0-85+)</w:t>
            </w:r>
          </w:p>
        </w:tc>
        <w:tc>
          <w:tcPr>
            <w:tcW w:w="1893"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281,628</w:t>
            </w:r>
          </w:p>
        </w:tc>
        <w:tc>
          <w:tcPr>
            <w:tcW w:w="1620" w:type="dxa"/>
            <w:noWrap/>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0.76</w:t>
            </w:r>
          </w:p>
        </w:tc>
      </w:tr>
      <w:tr w:rsidR="00C46BDF" w:rsidRPr="009F01D3" w:rsidTr="00C51788">
        <w:trPr>
          <w:trHeight w:val="315"/>
        </w:trPr>
        <w:tc>
          <w:tcPr>
            <w:cnfStyle w:val="001000000000" w:firstRow="0" w:lastRow="0" w:firstColumn="1" w:lastColumn="0" w:oddVBand="0" w:evenVBand="0" w:oddHBand="0" w:evenHBand="0" w:firstRowFirstColumn="0" w:firstRowLastColumn="0" w:lastRowFirstColumn="0" w:lastRowLastColumn="0"/>
            <w:tcW w:w="2360" w:type="dxa"/>
            <w:hideMark/>
          </w:tcPr>
          <w:p w:rsidR="00C46BDF" w:rsidRPr="002A2ABB" w:rsidRDefault="00C46BDF" w:rsidP="00C51788">
            <w:pPr>
              <w:jc w:val="center"/>
              <w:rPr>
                <w:rFonts w:ascii="Tahoma" w:eastAsia="Times New Roman" w:hAnsi="Tahoma" w:cs="Tahoma"/>
                <w:b w:val="0"/>
              </w:rPr>
            </w:pPr>
            <w:r w:rsidRPr="002A2ABB">
              <w:rPr>
                <w:rFonts w:ascii="Tahoma" w:eastAsia="Times New Roman" w:hAnsi="Tahoma" w:cs="Tahoma"/>
                <w:b w:val="0"/>
              </w:rPr>
              <w:t>0.5</w:t>
            </w:r>
            <w:r w:rsidR="00A6008D" w:rsidRPr="002A2ABB">
              <w:rPr>
                <w:rFonts w:ascii="Tahoma" w:eastAsia="Times New Roman" w:hAnsi="Tahoma" w:cs="Tahoma"/>
                <w:b w:val="0"/>
              </w:rPr>
              <w:t xml:space="preserve"> x</w:t>
            </w:r>
            <w:r w:rsidRPr="002A2ABB">
              <w:rPr>
                <w:rFonts w:ascii="Tahoma" w:eastAsia="Times New Roman" w:hAnsi="Tahoma" w:cs="Tahoma"/>
                <w:b w:val="0"/>
              </w:rPr>
              <w:t xml:space="preserve"> 2000-2010</w:t>
            </w:r>
          </w:p>
        </w:tc>
        <w:tc>
          <w:tcPr>
            <w:tcW w:w="1255"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2030</w:t>
            </w:r>
          </w:p>
        </w:tc>
        <w:tc>
          <w:tcPr>
            <w:tcW w:w="1800"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All (0-85+)</w:t>
            </w:r>
          </w:p>
        </w:tc>
        <w:tc>
          <w:tcPr>
            <w:tcW w:w="1893"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291,572</w:t>
            </w:r>
          </w:p>
        </w:tc>
        <w:tc>
          <w:tcPr>
            <w:tcW w:w="1620" w:type="dxa"/>
            <w:noWrap/>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0.70</w:t>
            </w:r>
          </w:p>
        </w:tc>
      </w:tr>
      <w:tr w:rsidR="00C46BDF" w:rsidRPr="009F01D3" w:rsidTr="00C517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0" w:type="dxa"/>
            <w:hideMark/>
          </w:tcPr>
          <w:p w:rsidR="00C46BDF" w:rsidRPr="002A2ABB" w:rsidRDefault="00C46BDF" w:rsidP="00C51788">
            <w:pPr>
              <w:jc w:val="center"/>
              <w:rPr>
                <w:rFonts w:ascii="Tahoma" w:eastAsia="Times New Roman" w:hAnsi="Tahoma" w:cs="Tahoma"/>
                <w:b w:val="0"/>
              </w:rPr>
            </w:pPr>
            <w:r w:rsidRPr="002A2ABB">
              <w:rPr>
                <w:rFonts w:ascii="Tahoma" w:eastAsia="Times New Roman" w:hAnsi="Tahoma" w:cs="Tahoma"/>
                <w:b w:val="0"/>
              </w:rPr>
              <w:t>0.5</w:t>
            </w:r>
            <w:r w:rsidR="00A6008D" w:rsidRPr="002A2ABB">
              <w:rPr>
                <w:rFonts w:ascii="Tahoma" w:eastAsia="Times New Roman" w:hAnsi="Tahoma" w:cs="Tahoma"/>
                <w:b w:val="0"/>
              </w:rPr>
              <w:t xml:space="preserve"> x</w:t>
            </w:r>
            <w:r w:rsidRPr="002A2ABB">
              <w:rPr>
                <w:rFonts w:ascii="Tahoma" w:eastAsia="Times New Roman" w:hAnsi="Tahoma" w:cs="Tahoma"/>
                <w:b w:val="0"/>
              </w:rPr>
              <w:t xml:space="preserve"> 2000-2010</w:t>
            </w:r>
          </w:p>
        </w:tc>
        <w:tc>
          <w:tcPr>
            <w:tcW w:w="1255"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2035</w:t>
            </w:r>
          </w:p>
        </w:tc>
        <w:tc>
          <w:tcPr>
            <w:tcW w:w="1800"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All (0-85+)</w:t>
            </w:r>
          </w:p>
        </w:tc>
        <w:tc>
          <w:tcPr>
            <w:tcW w:w="1893"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300,430</w:t>
            </w:r>
          </w:p>
        </w:tc>
        <w:tc>
          <w:tcPr>
            <w:tcW w:w="1620" w:type="dxa"/>
            <w:noWrap/>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0.60</w:t>
            </w:r>
          </w:p>
        </w:tc>
      </w:tr>
      <w:tr w:rsidR="00C46BDF" w:rsidRPr="009F01D3" w:rsidTr="00C51788">
        <w:trPr>
          <w:trHeight w:val="315"/>
        </w:trPr>
        <w:tc>
          <w:tcPr>
            <w:cnfStyle w:val="001000000000" w:firstRow="0" w:lastRow="0" w:firstColumn="1" w:lastColumn="0" w:oddVBand="0" w:evenVBand="0" w:oddHBand="0" w:evenHBand="0" w:firstRowFirstColumn="0" w:firstRowLastColumn="0" w:lastRowFirstColumn="0" w:lastRowLastColumn="0"/>
            <w:tcW w:w="2360" w:type="dxa"/>
            <w:hideMark/>
          </w:tcPr>
          <w:p w:rsidR="00C46BDF" w:rsidRPr="002A2ABB" w:rsidRDefault="00C46BDF" w:rsidP="00C51788">
            <w:pPr>
              <w:jc w:val="center"/>
              <w:rPr>
                <w:rFonts w:ascii="Tahoma" w:eastAsia="Times New Roman" w:hAnsi="Tahoma" w:cs="Tahoma"/>
                <w:b w:val="0"/>
              </w:rPr>
            </w:pPr>
            <w:r w:rsidRPr="002A2ABB">
              <w:rPr>
                <w:rFonts w:ascii="Tahoma" w:eastAsia="Times New Roman" w:hAnsi="Tahoma" w:cs="Tahoma"/>
                <w:b w:val="0"/>
              </w:rPr>
              <w:t>0.5</w:t>
            </w:r>
            <w:r w:rsidR="00A6008D" w:rsidRPr="002A2ABB">
              <w:rPr>
                <w:rFonts w:ascii="Tahoma" w:eastAsia="Times New Roman" w:hAnsi="Tahoma" w:cs="Tahoma"/>
                <w:b w:val="0"/>
              </w:rPr>
              <w:t xml:space="preserve"> x</w:t>
            </w:r>
            <w:r w:rsidRPr="002A2ABB">
              <w:rPr>
                <w:rFonts w:ascii="Tahoma" w:eastAsia="Times New Roman" w:hAnsi="Tahoma" w:cs="Tahoma"/>
                <w:b w:val="0"/>
              </w:rPr>
              <w:t xml:space="preserve"> 2000-2010</w:t>
            </w:r>
          </w:p>
        </w:tc>
        <w:tc>
          <w:tcPr>
            <w:tcW w:w="1255"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2040</w:t>
            </w:r>
          </w:p>
        </w:tc>
        <w:tc>
          <w:tcPr>
            <w:tcW w:w="1800"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All (0-85+)</w:t>
            </w:r>
          </w:p>
        </w:tc>
        <w:tc>
          <w:tcPr>
            <w:tcW w:w="1893"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308,660</w:t>
            </w:r>
          </w:p>
        </w:tc>
        <w:tc>
          <w:tcPr>
            <w:tcW w:w="1620" w:type="dxa"/>
            <w:noWrap/>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0.54</w:t>
            </w:r>
          </w:p>
        </w:tc>
      </w:tr>
      <w:tr w:rsidR="00C46BDF" w:rsidRPr="009F01D3" w:rsidTr="00C517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0" w:type="dxa"/>
            <w:hideMark/>
          </w:tcPr>
          <w:p w:rsidR="00C46BDF" w:rsidRPr="002A2ABB" w:rsidRDefault="00C46BDF" w:rsidP="00C51788">
            <w:pPr>
              <w:jc w:val="center"/>
              <w:rPr>
                <w:rFonts w:ascii="Tahoma" w:eastAsia="Times New Roman" w:hAnsi="Tahoma" w:cs="Tahoma"/>
                <w:b w:val="0"/>
              </w:rPr>
            </w:pPr>
            <w:r w:rsidRPr="002A2ABB">
              <w:rPr>
                <w:rFonts w:ascii="Tahoma" w:eastAsia="Times New Roman" w:hAnsi="Tahoma" w:cs="Tahoma"/>
                <w:b w:val="0"/>
              </w:rPr>
              <w:t>0.5</w:t>
            </w:r>
            <w:r w:rsidR="00A6008D" w:rsidRPr="002A2ABB">
              <w:rPr>
                <w:rFonts w:ascii="Tahoma" w:eastAsia="Times New Roman" w:hAnsi="Tahoma" w:cs="Tahoma"/>
                <w:b w:val="0"/>
              </w:rPr>
              <w:t xml:space="preserve"> x</w:t>
            </w:r>
            <w:r w:rsidRPr="002A2ABB">
              <w:rPr>
                <w:rFonts w:ascii="Tahoma" w:eastAsia="Times New Roman" w:hAnsi="Tahoma" w:cs="Tahoma"/>
                <w:b w:val="0"/>
              </w:rPr>
              <w:t xml:space="preserve"> 2000-2010</w:t>
            </w:r>
          </w:p>
        </w:tc>
        <w:tc>
          <w:tcPr>
            <w:tcW w:w="1255"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2045</w:t>
            </w:r>
          </w:p>
        </w:tc>
        <w:tc>
          <w:tcPr>
            <w:tcW w:w="1800"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All (0-85+)</w:t>
            </w:r>
          </w:p>
        </w:tc>
        <w:tc>
          <w:tcPr>
            <w:tcW w:w="1893" w:type="dxa"/>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316,886</w:t>
            </w:r>
          </w:p>
        </w:tc>
        <w:tc>
          <w:tcPr>
            <w:tcW w:w="1620" w:type="dxa"/>
            <w:noWrap/>
            <w:hideMark/>
          </w:tcPr>
          <w:p w:rsidR="00C46BDF" w:rsidRPr="002A2ABB" w:rsidRDefault="00C46BDF" w:rsidP="00C5178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0.53</w:t>
            </w:r>
          </w:p>
        </w:tc>
      </w:tr>
      <w:tr w:rsidR="00C46BDF" w:rsidRPr="009F01D3" w:rsidTr="00C51788">
        <w:trPr>
          <w:trHeight w:val="315"/>
        </w:trPr>
        <w:tc>
          <w:tcPr>
            <w:cnfStyle w:val="001000000000" w:firstRow="0" w:lastRow="0" w:firstColumn="1" w:lastColumn="0" w:oddVBand="0" w:evenVBand="0" w:oddHBand="0" w:evenHBand="0" w:firstRowFirstColumn="0" w:firstRowLastColumn="0" w:lastRowFirstColumn="0" w:lastRowLastColumn="0"/>
            <w:tcW w:w="2360" w:type="dxa"/>
            <w:hideMark/>
          </w:tcPr>
          <w:p w:rsidR="00C46BDF" w:rsidRPr="002A2ABB" w:rsidRDefault="00C46BDF" w:rsidP="00C51788">
            <w:pPr>
              <w:jc w:val="center"/>
              <w:rPr>
                <w:rFonts w:ascii="Tahoma" w:eastAsia="Times New Roman" w:hAnsi="Tahoma" w:cs="Tahoma"/>
                <w:b w:val="0"/>
              </w:rPr>
            </w:pPr>
            <w:r w:rsidRPr="002A2ABB">
              <w:rPr>
                <w:rFonts w:ascii="Tahoma" w:eastAsia="Times New Roman" w:hAnsi="Tahoma" w:cs="Tahoma"/>
                <w:b w:val="0"/>
              </w:rPr>
              <w:t>0.5</w:t>
            </w:r>
            <w:r w:rsidR="00A6008D" w:rsidRPr="002A2ABB">
              <w:rPr>
                <w:rFonts w:ascii="Tahoma" w:eastAsia="Times New Roman" w:hAnsi="Tahoma" w:cs="Tahoma"/>
                <w:b w:val="0"/>
              </w:rPr>
              <w:t xml:space="preserve"> x</w:t>
            </w:r>
            <w:r w:rsidRPr="002A2ABB">
              <w:rPr>
                <w:rFonts w:ascii="Tahoma" w:eastAsia="Times New Roman" w:hAnsi="Tahoma" w:cs="Tahoma"/>
                <w:b w:val="0"/>
              </w:rPr>
              <w:t xml:space="preserve"> 2000-2010</w:t>
            </w:r>
          </w:p>
        </w:tc>
        <w:tc>
          <w:tcPr>
            <w:tcW w:w="1255"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2050</w:t>
            </w:r>
          </w:p>
        </w:tc>
        <w:tc>
          <w:tcPr>
            <w:tcW w:w="1800"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All (0-85+)</w:t>
            </w:r>
          </w:p>
        </w:tc>
        <w:tc>
          <w:tcPr>
            <w:tcW w:w="1893" w:type="dxa"/>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325,432</w:t>
            </w:r>
          </w:p>
        </w:tc>
        <w:tc>
          <w:tcPr>
            <w:tcW w:w="1620" w:type="dxa"/>
            <w:noWrap/>
            <w:hideMark/>
          </w:tcPr>
          <w:p w:rsidR="00C46BDF" w:rsidRPr="002A2ABB" w:rsidRDefault="00C46BDF" w:rsidP="00C5178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rPr>
            </w:pPr>
            <w:r w:rsidRPr="002A2ABB">
              <w:rPr>
                <w:rFonts w:ascii="Tahoma" w:eastAsia="Times New Roman" w:hAnsi="Tahoma" w:cs="Tahoma"/>
              </w:rPr>
              <w:t>0.53</w:t>
            </w:r>
          </w:p>
        </w:tc>
      </w:tr>
    </w:tbl>
    <w:p w:rsidR="009F01D3" w:rsidRDefault="00B8500E" w:rsidP="00B8500E">
      <w:pPr>
        <w:tabs>
          <w:tab w:val="left" w:pos="0"/>
        </w:tabs>
        <w:spacing w:after="0" w:line="240" w:lineRule="auto"/>
        <w:rPr>
          <w:rFonts w:ascii="Tahoma" w:hAnsi="Tahoma" w:cs="Tahoma"/>
          <w:sz w:val="18"/>
          <w:szCs w:val="18"/>
        </w:rPr>
        <w:sectPr w:rsidR="009F01D3" w:rsidSect="009961BB">
          <w:type w:val="continuous"/>
          <w:pgSz w:w="12240" w:h="15840"/>
          <w:pgMar w:top="1440" w:right="1350" w:bottom="1440" w:left="2070" w:header="720" w:footer="720" w:gutter="0"/>
          <w:cols w:space="720"/>
          <w:docGrid w:linePitch="360"/>
        </w:sectPr>
      </w:pPr>
      <w:r w:rsidRPr="009F01D3">
        <w:rPr>
          <w:rFonts w:ascii="Tahoma" w:hAnsi="Tahoma" w:cs="Tahoma"/>
          <w:sz w:val="18"/>
          <w:szCs w:val="18"/>
        </w:rPr>
        <w:t>Source: Texas State Data Center</w:t>
      </w:r>
    </w:p>
    <w:p w:rsidR="00FB3B79" w:rsidRDefault="00FB3B79" w:rsidP="00B8500E">
      <w:pPr>
        <w:tabs>
          <w:tab w:val="left" w:pos="0"/>
        </w:tabs>
        <w:spacing w:after="0" w:line="240" w:lineRule="auto"/>
        <w:rPr>
          <w:rFonts w:ascii="Tahoma" w:hAnsi="Tahoma" w:cs="Tahoma"/>
          <w:sz w:val="18"/>
          <w:szCs w:val="18"/>
        </w:rPr>
        <w:sectPr w:rsidR="00FB3B79" w:rsidSect="009F01D3">
          <w:type w:val="continuous"/>
          <w:pgSz w:w="12240" w:h="15840"/>
          <w:pgMar w:top="1440" w:right="1350" w:bottom="1440" w:left="2070" w:header="720" w:footer="720" w:gutter="0"/>
          <w:cols w:num="2" w:space="720"/>
          <w:docGrid w:linePitch="360"/>
        </w:sectPr>
      </w:pPr>
    </w:p>
    <w:p w:rsidR="009F01D3" w:rsidRDefault="00A936A8" w:rsidP="009F01D3">
      <w:pPr>
        <w:tabs>
          <w:tab w:val="left" w:pos="0"/>
          <w:tab w:val="left" w:pos="540"/>
        </w:tabs>
        <w:spacing w:after="0" w:line="271" w:lineRule="auto"/>
        <w:jc w:val="both"/>
        <w:rPr>
          <w:rFonts w:ascii="Tahoma" w:hAnsi="Tahoma" w:cs="Tahoma"/>
        </w:rPr>
      </w:pPr>
      <w:r w:rsidRPr="009F01D3">
        <w:rPr>
          <w:rFonts w:ascii="Tahoma" w:hAnsi="Tahoma" w:cs="Tahoma"/>
        </w:rPr>
        <w:lastRenderedPageBreak/>
        <w:t xml:space="preserve">2012 to 2014 Waco’s </w:t>
      </w:r>
      <w:r w:rsidR="00C51788">
        <w:rPr>
          <w:rFonts w:ascii="Tahoma" w:hAnsi="Tahoma" w:cs="Tahoma"/>
        </w:rPr>
        <w:t xml:space="preserve">annual </w:t>
      </w:r>
      <w:r w:rsidRPr="009F01D3">
        <w:rPr>
          <w:rFonts w:ascii="Tahoma" w:hAnsi="Tahoma" w:cs="Tahoma"/>
        </w:rPr>
        <w:t xml:space="preserve">population growth averaged </w:t>
      </w:r>
      <w:r w:rsidR="00B8500E" w:rsidRPr="009F01D3">
        <w:rPr>
          <w:rFonts w:ascii="Tahoma" w:hAnsi="Tahoma" w:cs="Tahoma"/>
        </w:rPr>
        <w:t xml:space="preserve">only </w:t>
      </w:r>
      <w:r w:rsidRPr="009F01D3">
        <w:rPr>
          <w:rFonts w:ascii="Tahoma" w:hAnsi="Tahoma" w:cs="Tahoma"/>
        </w:rPr>
        <w:t>0.6%, as the e</w:t>
      </w:r>
      <w:r w:rsidRPr="009F01D3">
        <w:rPr>
          <w:rFonts w:ascii="Tahoma" w:hAnsi="Tahoma" w:cs="Tahoma"/>
        </w:rPr>
        <w:t>n</w:t>
      </w:r>
      <w:r w:rsidRPr="009F01D3">
        <w:rPr>
          <w:rFonts w:ascii="Tahoma" w:hAnsi="Tahoma" w:cs="Tahoma"/>
        </w:rPr>
        <w:t>ergy sector propelled job growth in other parts of the State</w:t>
      </w:r>
      <w:r w:rsidR="00FB3B79">
        <w:rPr>
          <w:rFonts w:ascii="Tahoma" w:hAnsi="Tahoma" w:cs="Tahoma"/>
        </w:rPr>
        <w:t>.</w:t>
      </w:r>
      <w:r w:rsidR="00B6317E" w:rsidRPr="009F01D3">
        <w:rPr>
          <w:rFonts w:ascii="Tahoma" w:hAnsi="Tahoma" w:cs="Tahoma"/>
        </w:rPr>
        <w:t xml:space="preserve"> </w:t>
      </w:r>
    </w:p>
    <w:p w:rsidR="009F01D3" w:rsidRDefault="009F01D3" w:rsidP="00550EFA">
      <w:pPr>
        <w:tabs>
          <w:tab w:val="left" w:pos="0"/>
          <w:tab w:val="left" w:pos="540"/>
        </w:tabs>
        <w:spacing w:after="0" w:line="271" w:lineRule="auto"/>
        <w:jc w:val="both"/>
        <w:rPr>
          <w:rFonts w:ascii="Tahoma" w:hAnsi="Tahoma" w:cs="Tahoma"/>
        </w:rPr>
      </w:pPr>
      <w:r>
        <w:rPr>
          <w:rFonts w:ascii="Tahoma" w:hAnsi="Tahoma" w:cs="Tahoma"/>
        </w:rPr>
        <w:tab/>
      </w:r>
      <w:r w:rsidR="008D620D" w:rsidRPr="009F01D3">
        <w:rPr>
          <w:rFonts w:ascii="Tahoma" w:hAnsi="Tahoma" w:cs="Tahoma"/>
        </w:rPr>
        <w:t>Conceptually</w:t>
      </w:r>
      <w:r w:rsidR="00B8500E" w:rsidRPr="009F01D3">
        <w:rPr>
          <w:rFonts w:ascii="Tahoma" w:hAnsi="Tahoma" w:cs="Tahoma"/>
        </w:rPr>
        <w:t>,</w:t>
      </w:r>
      <w:r w:rsidR="008D620D" w:rsidRPr="009F01D3">
        <w:rPr>
          <w:rFonts w:ascii="Tahoma" w:hAnsi="Tahoma" w:cs="Tahoma"/>
        </w:rPr>
        <w:t xml:space="preserve"> a metro area includes an integrated labor market</w:t>
      </w:r>
      <w:r w:rsidR="00C51788">
        <w:rPr>
          <w:rFonts w:ascii="Tahoma" w:hAnsi="Tahoma" w:cs="Tahoma"/>
        </w:rPr>
        <w:t>,</w:t>
      </w:r>
      <w:r>
        <w:rPr>
          <w:rFonts w:ascii="Tahoma" w:hAnsi="Tahoma" w:cs="Tahoma"/>
        </w:rPr>
        <w:t xml:space="preserve"> </w:t>
      </w:r>
      <w:r w:rsidR="00C51788">
        <w:rPr>
          <w:rFonts w:ascii="Tahoma" w:hAnsi="Tahoma" w:cs="Tahoma"/>
        </w:rPr>
        <w:t xml:space="preserve">resulting in </w:t>
      </w:r>
      <w:r w:rsidR="00FB3B79">
        <w:rPr>
          <w:rFonts w:ascii="Tahoma" w:hAnsi="Tahoma" w:cs="Tahoma"/>
        </w:rPr>
        <w:t>Falls County</w:t>
      </w:r>
      <w:r w:rsidR="00C51788">
        <w:rPr>
          <w:rFonts w:ascii="Tahoma" w:hAnsi="Tahoma" w:cs="Tahoma"/>
        </w:rPr>
        <w:t xml:space="preserve"> being added to</w:t>
      </w:r>
      <w:r w:rsidR="00FB3B79">
        <w:rPr>
          <w:rFonts w:ascii="Tahoma" w:hAnsi="Tahoma" w:cs="Tahoma"/>
        </w:rPr>
        <w:t xml:space="preserve"> McLennan Country </w:t>
      </w:r>
      <w:r w:rsidR="00A1730E">
        <w:rPr>
          <w:rFonts w:ascii="Tahoma" w:hAnsi="Tahoma" w:cs="Tahoma"/>
        </w:rPr>
        <w:t xml:space="preserve">in 2013 </w:t>
      </w:r>
      <w:r w:rsidR="00C51788">
        <w:rPr>
          <w:rFonts w:ascii="Tahoma" w:hAnsi="Tahoma" w:cs="Tahoma"/>
        </w:rPr>
        <w:t>to define</w:t>
      </w:r>
      <w:r w:rsidR="00A1730E">
        <w:rPr>
          <w:rFonts w:ascii="Tahoma" w:hAnsi="Tahoma" w:cs="Tahoma"/>
        </w:rPr>
        <w:t xml:space="preserve"> the Waco MSA. The</w:t>
      </w:r>
      <w:r w:rsidR="008D620D" w:rsidRPr="009F01D3">
        <w:rPr>
          <w:rFonts w:ascii="Tahoma" w:hAnsi="Tahoma" w:cs="Tahoma"/>
        </w:rPr>
        <w:t xml:space="preserve"> growth </w:t>
      </w:r>
      <w:r w:rsidR="005E22B8" w:rsidRPr="009F01D3">
        <w:rPr>
          <w:rFonts w:ascii="Tahoma" w:hAnsi="Tahoma" w:cs="Tahoma"/>
        </w:rPr>
        <w:t xml:space="preserve">rate </w:t>
      </w:r>
      <w:r w:rsidR="008D620D" w:rsidRPr="009F01D3">
        <w:rPr>
          <w:rFonts w:ascii="Tahoma" w:hAnsi="Tahoma" w:cs="Tahoma"/>
        </w:rPr>
        <w:t xml:space="preserve">in Waco MSA </w:t>
      </w:r>
      <w:r w:rsidR="005E22B8" w:rsidRPr="009F01D3">
        <w:rPr>
          <w:rFonts w:ascii="Tahoma" w:hAnsi="Tahoma" w:cs="Tahoma"/>
        </w:rPr>
        <w:t>population that historically consisted of only McLe</w:t>
      </w:r>
      <w:r w:rsidR="005E22B8" w:rsidRPr="009F01D3">
        <w:rPr>
          <w:rFonts w:ascii="Tahoma" w:hAnsi="Tahoma" w:cs="Tahoma"/>
        </w:rPr>
        <w:t>n</w:t>
      </w:r>
      <w:r w:rsidR="005E22B8" w:rsidRPr="009F01D3">
        <w:rPr>
          <w:rFonts w:ascii="Tahoma" w:hAnsi="Tahoma" w:cs="Tahoma"/>
        </w:rPr>
        <w:t xml:space="preserve">nan County </w:t>
      </w:r>
      <w:r w:rsidR="00A1730E">
        <w:rPr>
          <w:rFonts w:ascii="Tahoma" w:hAnsi="Tahoma" w:cs="Tahoma"/>
        </w:rPr>
        <w:t>was</w:t>
      </w:r>
      <w:r w:rsidR="008D620D" w:rsidRPr="009F01D3">
        <w:rPr>
          <w:rFonts w:ascii="Tahoma" w:hAnsi="Tahoma" w:cs="Tahoma"/>
        </w:rPr>
        <w:t xml:space="preserve"> </w:t>
      </w:r>
      <w:r w:rsidR="005E22B8" w:rsidRPr="009F01D3">
        <w:rPr>
          <w:rFonts w:ascii="Tahoma" w:hAnsi="Tahoma" w:cs="Tahoma"/>
        </w:rPr>
        <w:t xml:space="preserve">negatively </w:t>
      </w:r>
      <w:r w:rsidR="008D620D" w:rsidRPr="009F01D3">
        <w:rPr>
          <w:rFonts w:ascii="Tahoma" w:hAnsi="Tahoma" w:cs="Tahoma"/>
        </w:rPr>
        <w:t>impacted by the 2013 inclusion of Falls County into the metropolitan area</w:t>
      </w:r>
      <w:r w:rsidR="00A1730E">
        <w:rPr>
          <w:rFonts w:ascii="Tahoma" w:hAnsi="Tahoma" w:cs="Tahoma"/>
        </w:rPr>
        <w:t xml:space="preserve">. </w:t>
      </w:r>
      <w:r w:rsidRPr="009F01D3">
        <w:rPr>
          <w:rFonts w:ascii="Tahoma" w:hAnsi="Tahoma" w:cs="Tahoma"/>
        </w:rPr>
        <w:t xml:space="preserve">In </w:t>
      </w:r>
      <w:r w:rsidR="00351A6B" w:rsidRPr="009F01D3">
        <w:rPr>
          <w:rFonts w:ascii="Tahoma" w:hAnsi="Tahoma" w:cs="Tahoma"/>
        </w:rPr>
        <w:t xml:space="preserve">mid-year 2014 </w:t>
      </w:r>
      <w:r w:rsidRPr="009F01D3">
        <w:rPr>
          <w:rFonts w:ascii="Tahoma" w:hAnsi="Tahoma" w:cs="Tahoma"/>
        </w:rPr>
        <w:t xml:space="preserve">estimated </w:t>
      </w:r>
      <w:r w:rsidR="00573EDA" w:rsidRPr="009F01D3">
        <w:rPr>
          <w:rFonts w:ascii="Tahoma" w:hAnsi="Tahoma" w:cs="Tahoma"/>
        </w:rPr>
        <w:t xml:space="preserve">Waco MSA </w:t>
      </w:r>
      <w:r w:rsidR="00351A6B" w:rsidRPr="009F01D3">
        <w:rPr>
          <w:rFonts w:ascii="Tahoma" w:hAnsi="Tahoma" w:cs="Tahoma"/>
        </w:rPr>
        <w:t xml:space="preserve">population amounted to </w:t>
      </w:r>
      <w:r w:rsidR="00573EDA" w:rsidRPr="009F01D3">
        <w:rPr>
          <w:rFonts w:ascii="Tahoma" w:hAnsi="Tahoma" w:cs="Tahoma"/>
        </w:rPr>
        <w:t xml:space="preserve">260,430 persons of which 16,989 or 6.5% lived in Falls County.  Over the period from the April 1 2010 Census to July 2014 population in McLennan County increased 3.6% while </w:t>
      </w:r>
      <w:r w:rsidR="00573EDA" w:rsidRPr="009F01D3">
        <w:rPr>
          <w:rFonts w:ascii="Tahoma" w:hAnsi="Tahoma" w:cs="Tahoma"/>
        </w:rPr>
        <w:lastRenderedPageBreak/>
        <w:t>Falls County population dec</w:t>
      </w:r>
      <w:r w:rsidR="00C51788">
        <w:rPr>
          <w:rFonts w:ascii="Tahoma" w:hAnsi="Tahoma" w:cs="Tahoma"/>
        </w:rPr>
        <w:t>reased</w:t>
      </w:r>
      <w:r w:rsidR="00573EDA" w:rsidRPr="009F01D3">
        <w:rPr>
          <w:rFonts w:ascii="Tahoma" w:hAnsi="Tahoma" w:cs="Tahoma"/>
        </w:rPr>
        <w:t xml:space="preserve"> by 4.9%</w:t>
      </w:r>
      <w:r w:rsidR="00C51788">
        <w:rPr>
          <w:rFonts w:ascii="Tahoma" w:hAnsi="Tahoma" w:cs="Tahoma"/>
        </w:rPr>
        <w:t xml:space="preserve">, resulting in a 3.0% </w:t>
      </w:r>
      <w:r w:rsidR="00573EDA" w:rsidRPr="009F01D3">
        <w:rPr>
          <w:rFonts w:ascii="Tahoma" w:hAnsi="Tahoma" w:cs="Tahoma"/>
        </w:rPr>
        <w:t xml:space="preserve">combined </w:t>
      </w:r>
      <w:r w:rsidR="00C51788">
        <w:rPr>
          <w:rFonts w:ascii="Tahoma" w:hAnsi="Tahoma" w:cs="Tahoma"/>
        </w:rPr>
        <w:t>i</w:t>
      </w:r>
      <w:r w:rsidR="00C51788">
        <w:rPr>
          <w:rFonts w:ascii="Tahoma" w:hAnsi="Tahoma" w:cs="Tahoma"/>
        </w:rPr>
        <w:t>n</w:t>
      </w:r>
      <w:r w:rsidR="00C51788">
        <w:rPr>
          <w:rFonts w:ascii="Tahoma" w:hAnsi="Tahoma" w:cs="Tahoma"/>
        </w:rPr>
        <w:t xml:space="preserve">crease in </w:t>
      </w:r>
      <w:r w:rsidR="00573EDA" w:rsidRPr="009F01D3">
        <w:rPr>
          <w:rFonts w:ascii="Tahoma" w:hAnsi="Tahoma" w:cs="Tahoma"/>
        </w:rPr>
        <w:t xml:space="preserve">population </w:t>
      </w:r>
      <w:r w:rsidR="00361351" w:rsidRPr="009F01D3">
        <w:rPr>
          <w:rFonts w:ascii="Tahoma" w:hAnsi="Tahoma" w:cs="Tahoma"/>
        </w:rPr>
        <w:t xml:space="preserve">of </w:t>
      </w:r>
      <w:r w:rsidR="00C51788">
        <w:rPr>
          <w:rFonts w:ascii="Tahoma" w:hAnsi="Tahoma" w:cs="Tahoma"/>
        </w:rPr>
        <w:t>in the Waco MSA that currently include</w:t>
      </w:r>
      <w:r w:rsidR="00C34F79">
        <w:rPr>
          <w:rFonts w:ascii="Tahoma" w:hAnsi="Tahoma" w:cs="Tahoma"/>
        </w:rPr>
        <w:t>s</w:t>
      </w:r>
      <w:r w:rsidR="00C51788">
        <w:rPr>
          <w:rFonts w:ascii="Tahoma" w:hAnsi="Tahoma" w:cs="Tahoma"/>
        </w:rPr>
        <w:t xml:space="preserve"> both counties.</w:t>
      </w:r>
      <w:r w:rsidR="00B6317E" w:rsidRPr="009F01D3">
        <w:rPr>
          <w:rFonts w:ascii="Tahoma" w:hAnsi="Tahoma" w:cs="Tahoma"/>
        </w:rPr>
        <w:t xml:space="preserve"> </w:t>
      </w:r>
      <w:r w:rsidR="00C51788">
        <w:rPr>
          <w:rFonts w:ascii="Tahoma" w:hAnsi="Tahoma" w:cs="Tahoma"/>
        </w:rPr>
        <w:t xml:space="preserve"> </w:t>
      </w:r>
      <w:r>
        <w:rPr>
          <w:rFonts w:ascii="Tahoma" w:hAnsi="Tahoma" w:cs="Tahoma"/>
        </w:rPr>
        <w:t xml:space="preserve">Since the 2010 Census to July 2014 </w:t>
      </w:r>
      <w:r w:rsidR="00BA7367">
        <w:rPr>
          <w:rFonts w:ascii="Tahoma" w:hAnsi="Tahoma" w:cs="Tahoma"/>
        </w:rPr>
        <w:t>Te</w:t>
      </w:r>
      <w:r w:rsidR="00BA7367">
        <w:rPr>
          <w:rFonts w:ascii="Tahoma" w:hAnsi="Tahoma" w:cs="Tahoma"/>
        </w:rPr>
        <w:t>x</w:t>
      </w:r>
      <w:r w:rsidR="00BA7367">
        <w:rPr>
          <w:rFonts w:ascii="Tahoma" w:hAnsi="Tahoma" w:cs="Tahoma"/>
        </w:rPr>
        <w:t xml:space="preserve">as </w:t>
      </w:r>
      <w:r>
        <w:rPr>
          <w:rFonts w:ascii="Tahoma" w:hAnsi="Tahoma" w:cs="Tahoma"/>
        </w:rPr>
        <w:t>estimated</w:t>
      </w:r>
      <w:r w:rsidR="00BA7367">
        <w:rPr>
          <w:rFonts w:ascii="Tahoma" w:hAnsi="Tahoma" w:cs="Tahoma"/>
        </w:rPr>
        <w:t xml:space="preserve"> total </w:t>
      </w:r>
      <w:r w:rsidR="005E22B8" w:rsidRPr="009F01D3">
        <w:rPr>
          <w:rFonts w:ascii="Tahoma" w:hAnsi="Tahoma" w:cs="Tahoma"/>
        </w:rPr>
        <w:t xml:space="preserve">population grew 7.2% </w:t>
      </w:r>
      <w:r w:rsidR="00A1730E">
        <w:rPr>
          <w:rFonts w:ascii="Tahoma" w:hAnsi="Tahoma" w:cs="Tahoma"/>
        </w:rPr>
        <w:t>while the</w:t>
      </w:r>
      <w:r w:rsidR="005E22B8" w:rsidRPr="009F01D3">
        <w:rPr>
          <w:rFonts w:ascii="Tahoma" w:hAnsi="Tahoma" w:cs="Tahoma"/>
        </w:rPr>
        <w:t xml:space="preserve"> U.S.A. population increased 3.2%.  Since mid-year 2014 f</w:t>
      </w:r>
      <w:r w:rsidR="008D620D" w:rsidRPr="009F01D3">
        <w:rPr>
          <w:rFonts w:ascii="Tahoma" w:hAnsi="Tahoma" w:cs="Tahoma"/>
        </w:rPr>
        <w:t>alling oil and gas prices has lowered the emplo</w:t>
      </w:r>
      <w:r w:rsidR="008D620D" w:rsidRPr="009F01D3">
        <w:rPr>
          <w:rFonts w:ascii="Tahoma" w:hAnsi="Tahoma" w:cs="Tahoma"/>
        </w:rPr>
        <w:t>y</w:t>
      </w:r>
      <w:r w:rsidR="008D620D" w:rsidRPr="009F01D3">
        <w:rPr>
          <w:rFonts w:ascii="Tahoma" w:hAnsi="Tahoma" w:cs="Tahoma"/>
        </w:rPr>
        <w:t xml:space="preserve">ment growth gap </w:t>
      </w:r>
      <w:r w:rsidR="00A1730E">
        <w:rPr>
          <w:rFonts w:ascii="Tahoma" w:hAnsi="Tahoma" w:cs="Tahoma"/>
        </w:rPr>
        <w:t xml:space="preserve">between the Waco MSA and the </w:t>
      </w:r>
      <w:r w:rsidR="005E22B8" w:rsidRPr="009F01D3">
        <w:rPr>
          <w:rFonts w:ascii="Tahoma" w:hAnsi="Tahoma" w:cs="Tahoma"/>
        </w:rPr>
        <w:t>state</w:t>
      </w:r>
      <w:r w:rsidR="00A1730E">
        <w:rPr>
          <w:rFonts w:ascii="Tahoma" w:hAnsi="Tahoma" w:cs="Tahoma"/>
        </w:rPr>
        <w:t>,</w:t>
      </w:r>
      <w:r w:rsidR="005E22B8" w:rsidRPr="009F01D3">
        <w:rPr>
          <w:rFonts w:ascii="Tahoma" w:hAnsi="Tahoma" w:cs="Tahoma"/>
        </w:rPr>
        <w:t xml:space="preserve"> </w:t>
      </w:r>
      <w:r w:rsidR="00A1730E">
        <w:rPr>
          <w:rFonts w:ascii="Tahoma" w:hAnsi="Tahoma" w:cs="Tahoma"/>
        </w:rPr>
        <w:t>but Waco’s population is still projected to grow only about one-half the statewide growth</w:t>
      </w:r>
      <w:r w:rsidR="008D620D" w:rsidRPr="009F01D3">
        <w:rPr>
          <w:rFonts w:ascii="Tahoma" w:hAnsi="Tahoma" w:cs="Tahoma"/>
        </w:rPr>
        <w:t xml:space="preserve"> </w:t>
      </w:r>
      <w:r w:rsidR="005E22B8" w:rsidRPr="009F01D3">
        <w:rPr>
          <w:rFonts w:ascii="Tahoma" w:hAnsi="Tahoma" w:cs="Tahoma"/>
        </w:rPr>
        <w:t xml:space="preserve">rate </w:t>
      </w:r>
      <w:r w:rsidR="00550EFA">
        <w:rPr>
          <w:rFonts w:ascii="Tahoma" w:hAnsi="Tahoma" w:cs="Tahoma"/>
        </w:rPr>
        <w:t>as wor</w:t>
      </w:r>
      <w:r w:rsidR="00550EFA">
        <w:rPr>
          <w:rFonts w:ascii="Tahoma" w:hAnsi="Tahoma" w:cs="Tahoma"/>
        </w:rPr>
        <w:t>k</w:t>
      </w:r>
      <w:r w:rsidR="00550EFA">
        <w:rPr>
          <w:rFonts w:ascii="Tahoma" w:hAnsi="Tahoma" w:cs="Tahoma"/>
        </w:rPr>
        <w:t xml:space="preserve">ers continue </w:t>
      </w:r>
      <w:r w:rsidR="008D620D" w:rsidRPr="009F01D3">
        <w:rPr>
          <w:rFonts w:ascii="Tahoma" w:hAnsi="Tahoma" w:cs="Tahoma"/>
        </w:rPr>
        <w:t>to concentrate in areas within and adjacent to the State’s largest metro areas</w:t>
      </w:r>
      <w:r w:rsidR="00BA7367">
        <w:rPr>
          <w:rFonts w:ascii="Tahoma" w:hAnsi="Tahoma" w:cs="Tahoma"/>
        </w:rPr>
        <w:t xml:space="preserve">, especially in the </w:t>
      </w:r>
      <w:r w:rsidR="00072B0F">
        <w:rPr>
          <w:rFonts w:ascii="Tahoma" w:hAnsi="Tahoma" w:cs="Tahoma"/>
        </w:rPr>
        <w:t>cities of</w:t>
      </w:r>
      <w:r w:rsidR="00BA7367">
        <w:rPr>
          <w:rFonts w:ascii="Tahoma" w:hAnsi="Tahoma" w:cs="Tahoma"/>
        </w:rPr>
        <w:t xml:space="preserve"> </w:t>
      </w:r>
      <w:r w:rsidR="00550EFA">
        <w:rPr>
          <w:rFonts w:ascii="Tahoma" w:hAnsi="Tahoma" w:cs="Tahoma"/>
        </w:rPr>
        <w:t>Houston, Dallas-Ft. Worth, and San A</w:t>
      </w:r>
      <w:r w:rsidR="00550EFA">
        <w:rPr>
          <w:rFonts w:ascii="Tahoma" w:hAnsi="Tahoma" w:cs="Tahoma"/>
        </w:rPr>
        <w:t>n</w:t>
      </w:r>
      <w:r w:rsidR="00072B0F">
        <w:rPr>
          <w:rFonts w:ascii="Tahoma" w:hAnsi="Tahoma" w:cs="Tahoma"/>
        </w:rPr>
        <w:t>tonio that define the “Texas Triangle.”</w:t>
      </w:r>
      <w:r w:rsidR="00550EFA">
        <w:rPr>
          <w:rFonts w:ascii="Tahoma" w:hAnsi="Tahoma" w:cs="Tahoma"/>
        </w:rPr>
        <w:t xml:space="preserve">  </w:t>
      </w:r>
    </w:p>
    <w:p w:rsidR="00550EFA" w:rsidRDefault="00550EFA" w:rsidP="00550EFA">
      <w:pPr>
        <w:tabs>
          <w:tab w:val="left" w:pos="0"/>
          <w:tab w:val="left" w:pos="540"/>
        </w:tabs>
        <w:spacing w:after="0" w:line="271" w:lineRule="auto"/>
        <w:jc w:val="both"/>
        <w:rPr>
          <w:sz w:val="24"/>
          <w:szCs w:val="24"/>
        </w:rPr>
        <w:sectPr w:rsidR="00550EFA" w:rsidSect="009F01D3">
          <w:type w:val="continuous"/>
          <w:pgSz w:w="12240" w:h="15840"/>
          <w:pgMar w:top="1440" w:right="1350" w:bottom="1440" w:left="2070" w:header="720" w:footer="720" w:gutter="0"/>
          <w:cols w:num="2" w:space="720"/>
          <w:docGrid w:linePitch="360"/>
        </w:sectPr>
      </w:pPr>
    </w:p>
    <w:p w:rsidR="009F01D3" w:rsidRDefault="00BA7367" w:rsidP="00C51788">
      <w:pPr>
        <w:tabs>
          <w:tab w:val="left" w:pos="0"/>
        </w:tabs>
        <w:spacing w:after="0" w:line="240" w:lineRule="auto"/>
        <w:jc w:val="both"/>
        <w:rPr>
          <w:sz w:val="24"/>
          <w:szCs w:val="24"/>
        </w:rPr>
        <w:sectPr w:rsidR="009F01D3" w:rsidSect="009961BB">
          <w:type w:val="continuous"/>
          <w:pgSz w:w="12240" w:h="15840"/>
          <w:pgMar w:top="1440" w:right="1350" w:bottom="1440" w:left="2070" w:header="720" w:footer="720" w:gutter="0"/>
          <w:cols w:space="720"/>
          <w:docGrid w:linePitch="360"/>
        </w:sectPr>
      </w:pPr>
      <w:r>
        <w:rPr>
          <w:sz w:val="24"/>
          <w:szCs w:val="24"/>
        </w:rPr>
        <w:lastRenderedPageBreak/>
        <w:t>_________________________________________________________________________</w:t>
      </w:r>
    </w:p>
    <w:p w:rsidR="00BA7367" w:rsidRDefault="008D620D" w:rsidP="00550EFA">
      <w:pPr>
        <w:tabs>
          <w:tab w:val="left" w:pos="0"/>
        </w:tabs>
        <w:spacing w:before="120" w:after="120" w:line="271" w:lineRule="auto"/>
        <w:jc w:val="both"/>
        <w:rPr>
          <w:rFonts w:ascii="Tahoma" w:hAnsi="Tahoma" w:cs="Tahoma"/>
          <w:sz w:val="28"/>
          <w:szCs w:val="28"/>
        </w:rPr>
        <w:sectPr w:rsidR="00BA7367" w:rsidSect="009961BB">
          <w:type w:val="continuous"/>
          <w:pgSz w:w="12240" w:h="15840"/>
          <w:pgMar w:top="1440" w:right="1350" w:bottom="1440" w:left="2070" w:header="720" w:footer="720" w:gutter="0"/>
          <w:cols w:space="720"/>
          <w:docGrid w:linePitch="360"/>
        </w:sectPr>
      </w:pPr>
      <w:r>
        <w:rPr>
          <w:sz w:val="24"/>
          <w:szCs w:val="24"/>
        </w:rPr>
        <w:lastRenderedPageBreak/>
        <w:t xml:space="preserve"> </w:t>
      </w:r>
      <w:r w:rsidR="00F82A43">
        <w:rPr>
          <w:rFonts w:ascii="Tahoma" w:hAnsi="Tahoma" w:cs="Tahoma"/>
          <w:sz w:val="28"/>
          <w:szCs w:val="28"/>
        </w:rPr>
        <w:t>Summary and Highlights</w:t>
      </w:r>
      <w:r w:rsidR="00BA7367">
        <w:rPr>
          <w:rFonts w:ascii="Tahoma" w:hAnsi="Tahoma" w:cs="Tahoma"/>
          <w:sz w:val="28"/>
          <w:szCs w:val="28"/>
        </w:rPr>
        <w:tab/>
      </w:r>
    </w:p>
    <w:p w:rsidR="009618EF" w:rsidRPr="00C34F79" w:rsidRDefault="00BA7367" w:rsidP="00C85BD3">
      <w:pPr>
        <w:tabs>
          <w:tab w:val="left" w:pos="0"/>
          <w:tab w:val="left" w:pos="540"/>
        </w:tabs>
        <w:spacing w:after="0" w:line="271" w:lineRule="auto"/>
        <w:jc w:val="both"/>
        <w:rPr>
          <w:rFonts w:ascii="Tahoma" w:hAnsi="Tahoma" w:cs="Tahoma"/>
        </w:rPr>
      </w:pPr>
      <w:r>
        <w:rPr>
          <w:sz w:val="24"/>
          <w:szCs w:val="24"/>
        </w:rPr>
        <w:lastRenderedPageBreak/>
        <w:tab/>
      </w:r>
      <w:r w:rsidR="007A2514" w:rsidRPr="00C34F79">
        <w:rPr>
          <w:rFonts w:ascii="Tahoma" w:hAnsi="Tahoma" w:cs="Tahoma"/>
        </w:rPr>
        <w:t xml:space="preserve">Analysts often measure the relative </w:t>
      </w:r>
      <w:r w:rsidR="00C34F79">
        <w:rPr>
          <w:rFonts w:ascii="Tahoma" w:hAnsi="Tahoma" w:cs="Tahoma"/>
        </w:rPr>
        <w:t xml:space="preserve">economic </w:t>
      </w:r>
      <w:r w:rsidR="007A2514" w:rsidRPr="00C34F79">
        <w:rPr>
          <w:rFonts w:ascii="Tahoma" w:hAnsi="Tahoma" w:cs="Tahoma"/>
        </w:rPr>
        <w:t xml:space="preserve">performance of an economy by its growth in income per capita.   </w:t>
      </w:r>
      <w:r w:rsidRPr="00C34F79">
        <w:rPr>
          <w:rFonts w:ascii="Tahoma" w:hAnsi="Tahoma" w:cs="Tahoma"/>
        </w:rPr>
        <w:t>Figure 2</w:t>
      </w:r>
      <w:r w:rsidR="00C85BD3" w:rsidRPr="00C34F79">
        <w:rPr>
          <w:rFonts w:ascii="Tahoma" w:hAnsi="Tahoma" w:cs="Tahoma"/>
        </w:rPr>
        <w:t xml:space="preserve">2 </w:t>
      </w:r>
      <w:r w:rsidRPr="00C34F79">
        <w:rPr>
          <w:rFonts w:ascii="Tahoma" w:hAnsi="Tahoma" w:cs="Tahoma"/>
        </w:rPr>
        <w:t>shows indexes of annual average pe</w:t>
      </w:r>
      <w:r w:rsidRPr="00C34F79">
        <w:rPr>
          <w:rFonts w:ascii="Tahoma" w:hAnsi="Tahoma" w:cs="Tahoma"/>
        </w:rPr>
        <w:t>r</w:t>
      </w:r>
      <w:r w:rsidRPr="00C34F79">
        <w:rPr>
          <w:rFonts w:ascii="Tahoma" w:hAnsi="Tahoma" w:cs="Tahoma"/>
        </w:rPr>
        <w:t xml:space="preserve">sonal income per capita for the Waco MSA and the U.S. </w:t>
      </w:r>
      <w:r w:rsidR="00550EFA" w:rsidRPr="00C34F79">
        <w:rPr>
          <w:rFonts w:ascii="Tahoma" w:hAnsi="Tahoma" w:cs="Tahoma"/>
        </w:rPr>
        <w:t xml:space="preserve">metro areas </w:t>
      </w:r>
      <w:r w:rsidRPr="00C34F79">
        <w:rPr>
          <w:rFonts w:ascii="Tahoma" w:hAnsi="Tahoma" w:cs="Tahoma"/>
        </w:rPr>
        <w:t>since 1990 based on the year 1969.</w:t>
      </w:r>
    </w:p>
    <w:p w:rsidR="00072B0F" w:rsidRPr="00C34F79" w:rsidRDefault="007A2514" w:rsidP="00072B0F">
      <w:pPr>
        <w:tabs>
          <w:tab w:val="left" w:pos="0"/>
          <w:tab w:val="left" w:pos="540"/>
        </w:tabs>
        <w:spacing w:after="0"/>
        <w:jc w:val="both"/>
        <w:rPr>
          <w:rFonts w:ascii="Tahoma" w:hAnsi="Tahoma" w:cs="Tahoma"/>
        </w:rPr>
      </w:pPr>
      <w:r w:rsidRPr="00C34F79">
        <w:rPr>
          <w:rFonts w:ascii="Tahoma" w:hAnsi="Tahoma" w:cs="Tahoma"/>
        </w:rPr>
        <w:tab/>
      </w:r>
      <w:r w:rsidR="00072B0F" w:rsidRPr="00C34F79">
        <w:rPr>
          <w:rFonts w:ascii="Tahoma" w:hAnsi="Tahoma" w:cs="Tahoma"/>
        </w:rPr>
        <w:t>Historically, from 1969 to 2007 W</w:t>
      </w:r>
      <w:r w:rsidR="00072B0F" w:rsidRPr="00C34F79">
        <w:rPr>
          <w:rFonts w:ascii="Tahoma" w:hAnsi="Tahoma" w:cs="Tahoma"/>
        </w:rPr>
        <w:t>a</w:t>
      </w:r>
      <w:r w:rsidR="00072B0F" w:rsidRPr="00C34F79">
        <w:rPr>
          <w:rFonts w:ascii="Tahoma" w:hAnsi="Tahoma" w:cs="Tahoma"/>
        </w:rPr>
        <w:t>co and USA income per capita increased at about the same pace, even though Waco’s economy was generally more stable.  However, during the 2008-09 U.S. recession while the national average income per capita fell 3.9% Waco’s ave</w:t>
      </w:r>
      <w:r w:rsidR="00072B0F" w:rsidRPr="00C34F79">
        <w:rPr>
          <w:rFonts w:ascii="Tahoma" w:hAnsi="Tahoma" w:cs="Tahoma"/>
        </w:rPr>
        <w:t>r</w:t>
      </w:r>
      <w:r w:rsidR="00072B0F" w:rsidRPr="00C34F79">
        <w:rPr>
          <w:rFonts w:ascii="Tahoma" w:hAnsi="Tahoma" w:cs="Tahoma"/>
        </w:rPr>
        <w:t xml:space="preserve">age per capita income actually increased 0.7%.  </w:t>
      </w:r>
      <w:r w:rsidRPr="00C34F79">
        <w:rPr>
          <w:rFonts w:ascii="Tahoma" w:hAnsi="Tahoma" w:cs="Tahoma"/>
        </w:rPr>
        <w:t xml:space="preserve">Beginning in 2010 following the official recession the rate of recovery in Waco was about the same as the U.S. metro area average, but over the </w:t>
      </w:r>
      <w:r w:rsidR="00072B0F" w:rsidRPr="00C34F79">
        <w:rPr>
          <w:rFonts w:ascii="Tahoma" w:hAnsi="Tahoma" w:cs="Tahoma"/>
        </w:rPr>
        <w:t xml:space="preserve">eight years since 2005 the average annual rate of change in income per capita was 3.4% </w:t>
      </w:r>
      <w:r w:rsidR="00072B0F" w:rsidRPr="00C34F79">
        <w:rPr>
          <w:rFonts w:ascii="Tahoma" w:hAnsi="Tahoma" w:cs="Tahoma"/>
        </w:rPr>
        <w:lastRenderedPageBreak/>
        <w:t>in Waco compared with 2.</w:t>
      </w:r>
      <w:r w:rsidRPr="00C34F79">
        <w:rPr>
          <w:rFonts w:ascii="Tahoma" w:hAnsi="Tahoma" w:cs="Tahoma"/>
        </w:rPr>
        <w:t>7</w:t>
      </w:r>
      <w:r w:rsidR="00072B0F" w:rsidRPr="00C34F79">
        <w:rPr>
          <w:rFonts w:ascii="Tahoma" w:hAnsi="Tahoma" w:cs="Tahoma"/>
        </w:rPr>
        <w:t>% natio</w:t>
      </w:r>
      <w:r w:rsidR="00072B0F" w:rsidRPr="00C34F79">
        <w:rPr>
          <w:rFonts w:ascii="Tahoma" w:hAnsi="Tahoma" w:cs="Tahoma"/>
        </w:rPr>
        <w:t>n</w:t>
      </w:r>
      <w:r w:rsidR="00072B0F" w:rsidRPr="00C34F79">
        <w:rPr>
          <w:rFonts w:ascii="Tahoma" w:hAnsi="Tahoma" w:cs="Tahoma"/>
        </w:rPr>
        <w:t xml:space="preserve">wide.   </w:t>
      </w:r>
    </w:p>
    <w:p w:rsidR="00735319" w:rsidRPr="00C34F79" w:rsidRDefault="00072B0F" w:rsidP="00072B0F">
      <w:pPr>
        <w:tabs>
          <w:tab w:val="left" w:pos="0"/>
          <w:tab w:val="left" w:pos="540"/>
        </w:tabs>
        <w:spacing w:after="0"/>
        <w:jc w:val="both"/>
        <w:rPr>
          <w:rFonts w:ascii="Tahoma" w:hAnsi="Tahoma" w:cs="Tahoma"/>
        </w:rPr>
      </w:pPr>
      <w:r w:rsidRPr="00C34F79">
        <w:rPr>
          <w:rFonts w:ascii="Tahoma" w:hAnsi="Tahoma" w:cs="Tahoma"/>
        </w:rPr>
        <w:tab/>
      </w:r>
      <w:r w:rsidR="00735319">
        <w:rPr>
          <w:rFonts w:ascii="Tahoma" w:hAnsi="Tahoma" w:cs="Tahoma"/>
        </w:rPr>
        <w:t>The</w:t>
      </w:r>
      <w:r w:rsidR="00C34F79">
        <w:rPr>
          <w:rFonts w:ascii="Tahoma" w:hAnsi="Tahoma" w:cs="Tahoma"/>
        </w:rPr>
        <w:t xml:space="preserve"> growth of an area depends on </w:t>
      </w:r>
      <w:r w:rsidR="00735319">
        <w:rPr>
          <w:rFonts w:ascii="Tahoma" w:hAnsi="Tahoma" w:cs="Tahoma"/>
        </w:rPr>
        <w:t xml:space="preserve">its rate of increase in </w:t>
      </w:r>
      <w:r w:rsidR="00C34F79">
        <w:rPr>
          <w:rFonts w:ascii="Tahoma" w:hAnsi="Tahoma" w:cs="Tahoma"/>
        </w:rPr>
        <w:t xml:space="preserve">income per capita </w:t>
      </w:r>
      <w:r w:rsidR="00735319">
        <w:rPr>
          <w:rFonts w:ascii="Tahoma" w:hAnsi="Tahoma" w:cs="Tahoma"/>
        </w:rPr>
        <w:t xml:space="preserve">plus its rate of increase in population.  </w:t>
      </w:r>
      <w:r w:rsidR="00C34F79">
        <w:rPr>
          <w:rFonts w:ascii="Tahoma" w:hAnsi="Tahoma" w:cs="Tahoma"/>
        </w:rPr>
        <w:t xml:space="preserve"> </w:t>
      </w:r>
      <w:r w:rsidR="000F288C" w:rsidRPr="00C34F79">
        <w:rPr>
          <w:rFonts w:ascii="Tahoma" w:hAnsi="Tahoma" w:cs="Tahoma"/>
        </w:rPr>
        <w:t>The Waco metro area’s</w:t>
      </w:r>
      <w:r w:rsidRPr="00C34F79">
        <w:rPr>
          <w:rFonts w:ascii="Tahoma" w:hAnsi="Tahoma" w:cs="Tahoma"/>
        </w:rPr>
        <w:t xml:space="preserve"> </w:t>
      </w:r>
      <w:r w:rsidR="000F288C" w:rsidRPr="00C34F79">
        <w:rPr>
          <w:rFonts w:ascii="Tahoma" w:hAnsi="Tahoma" w:cs="Tahoma"/>
        </w:rPr>
        <w:t>long-run</w:t>
      </w:r>
      <w:r w:rsidRPr="00C34F79">
        <w:rPr>
          <w:rFonts w:ascii="Tahoma" w:hAnsi="Tahoma" w:cs="Tahoma"/>
        </w:rPr>
        <w:t xml:space="preserve"> ec</w:t>
      </w:r>
      <w:r w:rsidRPr="00C34F79">
        <w:rPr>
          <w:rFonts w:ascii="Tahoma" w:hAnsi="Tahoma" w:cs="Tahoma"/>
        </w:rPr>
        <w:t>o</w:t>
      </w:r>
      <w:r w:rsidRPr="00C34F79">
        <w:rPr>
          <w:rFonts w:ascii="Tahoma" w:hAnsi="Tahoma" w:cs="Tahoma"/>
        </w:rPr>
        <w:t>nomic growth relative to the average for all U.S. metro areas</w:t>
      </w:r>
      <w:r w:rsidR="000F288C" w:rsidRPr="00C34F79">
        <w:rPr>
          <w:rFonts w:ascii="Tahoma" w:hAnsi="Tahoma" w:cs="Tahoma"/>
        </w:rPr>
        <w:t xml:space="preserve"> that also reflects growth in population</w:t>
      </w:r>
      <w:r w:rsidRPr="00C34F79">
        <w:rPr>
          <w:rFonts w:ascii="Tahoma" w:hAnsi="Tahoma" w:cs="Tahoma"/>
        </w:rPr>
        <w:t xml:space="preserve"> is best captured by the change in real GDP shown in figure 23 that plots annual indexes based on the year 2001 for Waco versus the</w:t>
      </w:r>
      <w:r w:rsidR="000F288C" w:rsidRPr="00C34F79">
        <w:rPr>
          <w:rFonts w:ascii="Tahoma" w:hAnsi="Tahoma" w:cs="Tahoma"/>
        </w:rPr>
        <w:t xml:space="preserve"> ave</w:t>
      </w:r>
      <w:r w:rsidR="000F288C" w:rsidRPr="00C34F79">
        <w:rPr>
          <w:rFonts w:ascii="Tahoma" w:hAnsi="Tahoma" w:cs="Tahoma"/>
        </w:rPr>
        <w:t>r</w:t>
      </w:r>
      <w:r w:rsidR="000F288C" w:rsidRPr="00C34F79">
        <w:rPr>
          <w:rFonts w:ascii="Tahoma" w:hAnsi="Tahoma" w:cs="Tahoma"/>
        </w:rPr>
        <w:t>age of all</w:t>
      </w:r>
      <w:r w:rsidRPr="00C34F79">
        <w:rPr>
          <w:rFonts w:ascii="Tahoma" w:hAnsi="Tahoma" w:cs="Tahoma"/>
        </w:rPr>
        <w:t xml:space="preserve"> 381 metro areas in the United States.  Over the 12-year period since 2001 the annual rate of growth in real GDP in the Waco economy </w:t>
      </w:r>
      <w:r w:rsidR="000F288C" w:rsidRPr="00C34F79">
        <w:rPr>
          <w:rFonts w:ascii="Tahoma" w:hAnsi="Tahoma" w:cs="Tahoma"/>
        </w:rPr>
        <w:t>averaged</w:t>
      </w:r>
      <w:r w:rsidRPr="00C34F79">
        <w:rPr>
          <w:rFonts w:ascii="Tahoma" w:hAnsi="Tahoma" w:cs="Tahoma"/>
        </w:rPr>
        <w:t xml:space="preserve"> 2.6% compared with 2.0% for all U.S. metro areas. </w:t>
      </w:r>
      <w:r w:rsidR="000F288C" w:rsidRPr="00C34F79">
        <w:rPr>
          <w:rFonts w:ascii="Tahoma" w:hAnsi="Tahoma" w:cs="Tahoma"/>
        </w:rPr>
        <w:t xml:space="preserve"> </w:t>
      </w:r>
      <w:r w:rsidR="00735319">
        <w:rPr>
          <w:rFonts w:ascii="Tahoma" w:hAnsi="Tahoma" w:cs="Tahoma"/>
        </w:rPr>
        <w:t>From 2011 to 2013 Waco’s average growth was 2.7% compare with 2.2% for all U.S. metro areas.</w:t>
      </w:r>
    </w:p>
    <w:p w:rsidR="000F288C" w:rsidRPr="00C34F79" w:rsidRDefault="000F288C" w:rsidP="00072B0F">
      <w:pPr>
        <w:tabs>
          <w:tab w:val="left" w:pos="0"/>
          <w:tab w:val="left" w:pos="540"/>
        </w:tabs>
        <w:spacing w:after="0"/>
        <w:jc w:val="both"/>
        <w:rPr>
          <w:rFonts w:ascii="Tahoma" w:hAnsi="Tahoma" w:cs="Tahoma"/>
        </w:rPr>
        <w:sectPr w:rsidR="000F288C" w:rsidRPr="00C34F79" w:rsidSect="00072B0F">
          <w:type w:val="continuous"/>
          <w:pgSz w:w="12240" w:h="15840"/>
          <w:pgMar w:top="1440" w:right="1350" w:bottom="1440" w:left="2070" w:header="720" w:footer="720" w:gutter="0"/>
          <w:cols w:num="2" w:space="720"/>
          <w:docGrid w:linePitch="360"/>
        </w:sectPr>
      </w:pPr>
    </w:p>
    <w:p w:rsidR="007A2514" w:rsidRPr="007B222F" w:rsidRDefault="007A2514" w:rsidP="007A2514">
      <w:pPr>
        <w:tabs>
          <w:tab w:val="left" w:pos="0"/>
        </w:tabs>
        <w:spacing w:after="0"/>
        <w:rPr>
          <w:sz w:val="18"/>
          <w:szCs w:val="18"/>
        </w:rPr>
      </w:pPr>
      <w:r>
        <w:rPr>
          <w:noProof/>
        </w:rPr>
        <w:lastRenderedPageBreak/>
        <w:drawing>
          <wp:inline distT="0" distB="0" distL="0" distR="0" wp14:anchorId="1FEF0DD5" wp14:editId="30F26318">
            <wp:extent cx="5596569" cy="2875402"/>
            <wp:effectExtent l="0" t="0" r="23495" b="203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7A2514">
        <w:rPr>
          <w:sz w:val="24"/>
          <w:szCs w:val="24"/>
        </w:rPr>
        <w:t xml:space="preserve"> </w:t>
      </w:r>
      <w:r w:rsidRPr="007B222F">
        <w:rPr>
          <w:sz w:val="18"/>
          <w:szCs w:val="18"/>
        </w:rPr>
        <w:t>Source:  U.S. Department of Commerce</w:t>
      </w:r>
    </w:p>
    <w:p w:rsidR="000F288C" w:rsidRDefault="00072B0F" w:rsidP="005F0604">
      <w:pPr>
        <w:tabs>
          <w:tab w:val="left" w:pos="0"/>
          <w:tab w:val="left" w:pos="540"/>
        </w:tabs>
        <w:spacing w:after="0" w:line="240" w:lineRule="auto"/>
        <w:jc w:val="both"/>
        <w:rPr>
          <w:rFonts w:ascii="Tahoma" w:hAnsi="Tahoma" w:cs="Tahoma"/>
          <w:sz w:val="18"/>
          <w:szCs w:val="18"/>
        </w:rPr>
      </w:pPr>
      <w:r w:rsidRPr="005F0604">
        <w:rPr>
          <w:rFonts w:ascii="Tahoma" w:hAnsi="Tahoma" w:cs="Tahoma"/>
          <w:sz w:val="16"/>
          <w:szCs w:val="16"/>
        </w:rPr>
        <w:t xml:space="preserve">  </w:t>
      </w:r>
      <w:r w:rsidR="000F288C">
        <w:rPr>
          <w:noProof/>
        </w:rPr>
        <w:drawing>
          <wp:inline distT="0" distB="0" distL="0" distR="0" wp14:anchorId="16574988" wp14:editId="2DAC9FE1">
            <wp:extent cx="5596569" cy="2886419"/>
            <wp:effectExtent l="0" t="0" r="23495"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0F288C" w:rsidRPr="000F288C">
        <w:rPr>
          <w:rFonts w:ascii="Tahoma" w:hAnsi="Tahoma" w:cs="Tahoma"/>
          <w:sz w:val="18"/>
          <w:szCs w:val="18"/>
        </w:rPr>
        <w:t xml:space="preserve"> </w:t>
      </w:r>
      <w:r w:rsidR="000F288C" w:rsidRPr="0079155B">
        <w:rPr>
          <w:rFonts w:ascii="Tahoma" w:hAnsi="Tahoma" w:cs="Tahoma"/>
          <w:sz w:val="18"/>
          <w:szCs w:val="18"/>
        </w:rPr>
        <w:t>Source:  U.S. Department of Commerce</w:t>
      </w:r>
    </w:p>
    <w:p w:rsidR="007A2514" w:rsidRDefault="00072B0F" w:rsidP="00072B0F">
      <w:pPr>
        <w:tabs>
          <w:tab w:val="left" w:pos="0"/>
          <w:tab w:val="left" w:pos="450"/>
        </w:tabs>
        <w:spacing w:after="0"/>
        <w:jc w:val="both"/>
        <w:rPr>
          <w:rFonts w:ascii="Tahoma" w:hAnsi="Tahoma" w:cs="Tahoma"/>
        </w:rPr>
        <w:sectPr w:rsidR="007A2514" w:rsidSect="007A2514">
          <w:pgSz w:w="12240" w:h="15840"/>
          <w:pgMar w:top="1440" w:right="1350" w:bottom="1440" w:left="2070" w:header="720" w:footer="720" w:gutter="0"/>
          <w:cols w:space="720"/>
          <w:docGrid w:linePitch="360"/>
        </w:sectPr>
      </w:pPr>
      <w:r>
        <w:rPr>
          <w:rFonts w:ascii="Tahoma" w:hAnsi="Tahoma" w:cs="Tahoma"/>
        </w:rPr>
        <w:tab/>
      </w:r>
    </w:p>
    <w:p w:rsidR="008D0133" w:rsidRDefault="000F288C" w:rsidP="00AE6D54">
      <w:pPr>
        <w:tabs>
          <w:tab w:val="left" w:pos="0"/>
          <w:tab w:val="left" w:pos="450"/>
        </w:tabs>
        <w:spacing w:after="0"/>
        <w:jc w:val="both"/>
        <w:rPr>
          <w:sz w:val="24"/>
          <w:szCs w:val="24"/>
        </w:rPr>
      </w:pPr>
      <w:r>
        <w:rPr>
          <w:rFonts w:ascii="Tahoma" w:hAnsi="Tahoma" w:cs="Tahoma"/>
        </w:rPr>
        <w:lastRenderedPageBreak/>
        <w:tab/>
      </w:r>
      <w:r w:rsidR="00072B0F" w:rsidRPr="0079155B">
        <w:rPr>
          <w:rFonts w:ascii="Tahoma" w:hAnsi="Tahoma" w:cs="Tahoma"/>
        </w:rPr>
        <w:t>Table 8 shows 2013 real GDP in mi</w:t>
      </w:r>
      <w:r w:rsidR="00072B0F" w:rsidRPr="0079155B">
        <w:rPr>
          <w:rFonts w:ascii="Tahoma" w:hAnsi="Tahoma" w:cs="Tahoma"/>
        </w:rPr>
        <w:t>l</w:t>
      </w:r>
      <w:r w:rsidR="00072B0F" w:rsidRPr="0079155B">
        <w:rPr>
          <w:rFonts w:ascii="Tahoma" w:hAnsi="Tahoma" w:cs="Tahoma"/>
        </w:rPr>
        <w:t xml:space="preserve">lions of chained 2009 dollars and the percentage of output produced in major industry sectors in the Waco MSA and in all 381 U.S. metro areas.  By far, the largest single industry sector contributing to local GDP is manufacturing that in 2013 accounted for 26.94% of Waco real GDP compared with only 11.89% of total </w:t>
      </w:r>
      <w:r w:rsidR="00072B0F" w:rsidRPr="0079155B">
        <w:rPr>
          <w:rFonts w:ascii="Tahoma" w:hAnsi="Tahoma" w:cs="Tahoma"/>
        </w:rPr>
        <w:lastRenderedPageBreak/>
        <w:t>real output produced by all 381 U.S. me</w:t>
      </w:r>
      <w:r w:rsidR="00072B0F" w:rsidRPr="0079155B">
        <w:rPr>
          <w:rFonts w:ascii="Tahoma" w:hAnsi="Tahoma" w:cs="Tahoma"/>
        </w:rPr>
        <w:t>t</w:t>
      </w:r>
      <w:r w:rsidR="00072B0F" w:rsidRPr="0079155B">
        <w:rPr>
          <w:rFonts w:ascii="Tahoma" w:hAnsi="Tahoma" w:cs="Tahoma"/>
        </w:rPr>
        <w:t>ro areas.  The second largest differential was in educational services (not including public schools) with 3.18% in the Waco MSA due compared with 1.11% natio</w:t>
      </w:r>
      <w:r w:rsidR="00072B0F" w:rsidRPr="0079155B">
        <w:rPr>
          <w:rFonts w:ascii="Tahoma" w:hAnsi="Tahoma" w:cs="Tahoma"/>
        </w:rPr>
        <w:t>n</w:t>
      </w:r>
      <w:r w:rsidR="00072B0F" w:rsidRPr="0079155B">
        <w:rPr>
          <w:rFonts w:ascii="Tahoma" w:hAnsi="Tahoma" w:cs="Tahoma"/>
        </w:rPr>
        <w:t>wide.  Construction output in 2013 a</w:t>
      </w:r>
      <w:r w:rsidR="00072B0F" w:rsidRPr="0079155B">
        <w:rPr>
          <w:rFonts w:ascii="Tahoma" w:hAnsi="Tahoma" w:cs="Tahoma"/>
        </w:rPr>
        <w:t>c</w:t>
      </w:r>
      <w:r w:rsidR="00072B0F" w:rsidRPr="0079155B">
        <w:rPr>
          <w:rFonts w:ascii="Tahoma" w:hAnsi="Tahoma" w:cs="Tahoma"/>
        </w:rPr>
        <w:t>counted for 5.03% of local real GDP compared with 3.69% nationwide.  Pe</w:t>
      </w:r>
      <w:r w:rsidR="00072B0F" w:rsidRPr="0079155B">
        <w:rPr>
          <w:rFonts w:ascii="Tahoma" w:hAnsi="Tahoma" w:cs="Tahoma"/>
        </w:rPr>
        <w:t>r</w:t>
      </w:r>
      <w:r w:rsidR="00072B0F" w:rsidRPr="0079155B">
        <w:rPr>
          <w:rFonts w:ascii="Tahoma" w:hAnsi="Tahoma" w:cs="Tahoma"/>
        </w:rPr>
        <w:t xml:space="preserve">haps surprisingly is the higher relative </w:t>
      </w:r>
      <w:r w:rsidR="00072B0F" w:rsidRPr="0079155B">
        <w:rPr>
          <w:rFonts w:ascii="Tahoma" w:hAnsi="Tahoma" w:cs="Tahoma"/>
        </w:rPr>
        <w:lastRenderedPageBreak/>
        <w:t>contribution of retail trade output, amounting to 6.67% locally versus 5.68% nationwide.</w:t>
      </w:r>
    </w:p>
    <w:p w:rsidR="000D102B" w:rsidRDefault="00F82A43" w:rsidP="00F82A43">
      <w:pPr>
        <w:tabs>
          <w:tab w:val="left" w:pos="0"/>
          <w:tab w:val="left" w:pos="540"/>
        </w:tabs>
        <w:spacing w:after="0"/>
        <w:jc w:val="both"/>
        <w:rPr>
          <w:rFonts w:ascii="Tahoma" w:hAnsi="Tahoma" w:cs="Tahoma"/>
        </w:rPr>
      </w:pPr>
      <w:r>
        <w:rPr>
          <w:rFonts w:ascii="Tahoma" w:hAnsi="Tahoma" w:cs="Tahoma"/>
        </w:rPr>
        <w:tab/>
      </w:r>
      <w:r w:rsidR="00A2656B" w:rsidRPr="00F82A43">
        <w:rPr>
          <w:rFonts w:ascii="Tahoma" w:hAnsi="Tahoma" w:cs="Tahoma"/>
        </w:rPr>
        <w:t xml:space="preserve">The </w:t>
      </w:r>
      <w:r w:rsidR="00417503" w:rsidRPr="00F82A43">
        <w:rPr>
          <w:rFonts w:ascii="Tahoma" w:hAnsi="Tahoma" w:cs="Tahoma"/>
        </w:rPr>
        <w:t xml:space="preserve">concentration of </w:t>
      </w:r>
      <w:r w:rsidR="00A2656B" w:rsidRPr="00F82A43">
        <w:rPr>
          <w:rFonts w:ascii="Tahoma" w:hAnsi="Tahoma" w:cs="Tahoma"/>
        </w:rPr>
        <w:t xml:space="preserve">manufacturing </w:t>
      </w:r>
      <w:r w:rsidR="00417503" w:rsidRPr="00F82A43">
        <w:rPr>
          <w:rFonts w:ascii="Tahoma" w:hAnsi="Tahoma" w:cs="Tahoma"/>
        </w:rPr>
        <w:t>firms has resulted</w:t>
      </w:r>
      <w:r w:rsidR="000D102B">
        <w:rPr>
          <w:rFonts w:ascii="Tahoma" w:hAnsi="Tahoma" w:cs="Tahoma"/>
        </w:rPr>
        <w:t xml:space="preserve"> in</w:t>
      </w:r>
      <w:r w:rsidR="00417503" w:rsidRPr="00F82A43">
        <w:rPr>
          <w:rFonts w:ascii="Tahoma" w:hAnsi="Tahoma" w:cs="Tahoma"/>
        </w:rPr>
        <w:t xml:space="preserve"> localization agglo</w:t>
      </w:r>
      <w:r w:rsidR="00417503" w:rsidRPr="00F82A43">
        <w:rPr>
          <w:rFonts w:ascii="Tahoma" w:hAnsi="Tahoma" w:cs="Tahoma"/>
        </w:rPr>
        <w:t>m</w:t>
      </w:r>
      <w:r w:rsidR="00417503" w:rsidRPr="00F82A43">
        <w:rPr>
          <w:rFonts w:ascii="Tahoma" w:hAnsi="Tahoma" w:cs="Tahoma"/>
        </w:rPr>
        <w:t>era</w:t>
      </w:r>
      <w:r w:rsidR="000D102B">
        <w:rPr>
          <w:rFonts w:ascii="Tahoma" w:hAnsi="Tahoma" w:cs="Tahoma"/>
        </w:rPr>
        <w:t xml:space="preserve">tion economies </w:t>
      </w:r>
      <w:r w:rsidR="00417503" w:rsidRPr="00F82A43">
        <w:rPr>
          <w:rFonts w:ascii="Tahoma" w:hAnsi="Tahoma" w:cs="Tahoma"/>
        </w:rPr>
        <w:t xml:space="preserve">that </w:t>
      </w:r>
      <w:r w:rsidR="000D102B">
        <w:rPr>
          <w:rFonts w:ascii="Tahoma" w:hAnsi="Tahoma" w:cs="Tahoma"/>
        </w:rPr>
        <w:t>are</w:t>
      </w:r>
      <w:r w:rsidR="00417503" w:rsidRPr="00F82A43">
        <w:rPr>
          <w:rFonts w:ascii="Tahoma" w:hAnsi="Tahoma" w:cs="Tahoma"/>
        </w:rPr>
        <w:t xml:space="preserve"> widening the gap between growth in Waco manufa</w:t>
      </w:r>
      <w:r w:rsidR="00417503" w:rsidRPr="00F82A43">
        <w:rPr>
          <w:rFonts w:ascii="Tahoma" w:hAnsi="Tahoma" w:cs="Tahoma"/>
        </w:rPr>
        <w:t>c</w:t>
      </w:r>
      <w:r w:rsidR="00417503" w:rsidRPr="00F82A43">
        <w:rPr>
          <w:rFonts w:ascii="Tahoma" w:hAnsi="Tahoma" w:cs="Tahoma"/>
        </w:rPr>
        <w:t xml:space="preserve">turing output and </w:t>
      </w:r>
      <w:r w:rsidR="00342210" w:rsidRPr="00F82A43">
        <w:rPr>
          <w:rFonts w:ascii="Tahoma" w:hAnsi="Tahoma" w:cs="Tahoma"/>
        </w:rPr>
        <w:t xml:space="preserve">the total of </w:t>
      </w:r>
      <w:r w:rsidR="00417503" w:rsidRPr="00F82A43">
        <w:rPr>
          <w:rFonts w:ascii="Tahoma" w:hAnsi="Tahoma" w:cs="Tahoma"/>
        </w:rPr>
        <w:t>all U.S. metro ar</w:t>
      </w:r>
      <w:r w:rsidR="000D102B">
        <w:rPr>
          <w:rFonts w:ascii="Tahoma" w:hAnsi="Tahoma" w:cs="Tahoma"/>
        </w:rPr>
        <w:t xml:space="preserve">eas manufacturers. </w:t>
      </w:r>
    </w:p>
    <w:p w:rsidR="000D102B" w:rsidRDefault="000D102B" w:rsidP="00F82A43">
      <w:pPr>
        <w:tabs>
          <w:tab w:val="left" w:pos="0"/>
          <w:tab w:val="left" w:pos="540"/>
        </w:tabs>
        <w:spacing w:after="0"/>
        <w:jc w:val="both"/>
        <w:rPr>
          <w:rFonts w:ascii="Tahoma" w:hAnsi="Tahoma" w:cs="Tahoma"/>
        </w:rPr>
      </w:pPr>
      <w:r>
        <w:rPr>
          <w:rFonts w:ascii="Tahoma" w:hAnsi="Tahoma" w:cs="Tahoma"/>
        </w:rPr>
        <w:tab/>
      </w:r>
      <w:r w:rsidR="00B04B70">
        <w:rPr>
          <w:rFonts w:ascii="Tahoma" w:hAnsi="Tahoma" w:cs="Tahoma"/>
        </w:rPr>
        <w:t>Growth in</w:t>
      </w:r>
      <w:r w:rsidR="00342210" w:rsidRPr="00F82A43">
        <w:rPr>
          <w:rFonts w:ascii="Tahoma" w:hAnsi="Tahoma" w:cs="Tahoma"/>
        </w:rPr>
        <w:t xml:space="preserve"> </w:t>
      </w:r>
      <w:r w:rsidR="00C803C5" w:rsidRPr="00F82A43">
        <w:rPr>
          <w:rFonts w:ascii="Tahoma" w:hAnsi="Tahoma" w:cs="Tahoma"/>
        </w:rPr>
        <w:t>professional and business service</w:t>
      </w:r>
      <w:r w:rsidR="00B04B70">
        <w:rPr>
          <w:rFonts w:ascii="Tahoma" w:hAnsi="Tahoma" w:cs="Tahoma"/>
        </w:rPr>
        <w:t>s</w:t>
      </w:r>
      <w:r w:rsidR="00342210" w:rsidRPr="00F82A43">
        <w:rPr>
          <w:rFonts w:ascii="Tahoma" w:hAnsi="Tahoma" w:cs="Tahoma"/>
        </w:rPr>
        <w:t xml:space="preserve"> has narrowed </w:t>
      </w:r>
      <w:r w:rsidR="00420CB6">
        <w:rPr>
          <w:rFonts w:ascii="Tahoma" w:hAnsi="Tahoma" w:cs="Tahoma"/>
        </w:rPr>
        <w:t xml:space="preserve">the gap in output between Waco and U.S. metro areas </w:t>
      </w:r>
      <w:r w:rsidR="00B04B70">
        <w:rPr>
          <w:rFonts w:ascii="Tahoma" w:hAnsi="Tahoma" w:cs="Tahoma"/>
        </w:rPr>
        <w:t xml:space="preserve">and is </w:t>
      </w:r>
      <w:r w:rsidR="00342210" w:rsidRPr="00F82A43">
        <w:rPr>
          <w:rFonts w:ascii="Tahoma" w:hAnsi="Tahoma" w:cs="Tahoma"/>
        </w:rPr>
        <w:t>attracting a younger entrepreneurial group</w:t>
      </w:r>
      <w:r w:rsidR="009D27CF" w:rsidRPr="00F82A43">
        <w:rPr>
          <w:rFonts w:ascii="Tahoma" w:hAnsi="Tahoma" w:cs="Tahoma"/>
        </w:rPr>
        <w:t xml:space="preserve"> that will further favorably impact the</w:t>
      </w:r>
      <w:r w:rsidR="00342210" w:rsidRPr="00F82A43">
        <w:rPr>
          <w:rFonts w:ascii="Tahoma" w:hAnsi="Tahoma" w:cs="Tahoma"/>
        </w:rPr>
        <w:t xml:space="preserve"> arts, recreation, entertainment, and food service </w:t>
      </w:r>
      <w:r w:rsidR="009D27CF" w:rsidRPr="00F82A43">
        <w:rPr>
          <w:rFonts w:ascii="Tahoma" w:hAnsi="Tahoma" w:cs="Tahoma"/>
        </w:rPr>
        <w:t>sector.</w:t>
      </w:r>
    </w:p>
    <w:p w:rsidR="00B04B70" w:rsidRDefault="000D102B" w:rsidP="00F82A43">
      <w:pPr>
        <w:tabs>
          <w:tab w:val="left" w:pos="0"/>
          <w:tab w:val="left" w:pos="540"/>
        </w:tabs>
        <w:spacing w:after="0"/>
        <w:jc w:val="both"/>
        <w:rPr>
          <w:rFonts w:ascii="Tahoma" w:hAnsi="Tahoma" w:cs="Tahoma"/>
        </w:rPr>
      </w:pPr>
      <w:r>
        <w:rPr>
          <w:rFonts w:ascii="Tahoma" w:hAnsi="Tahoma" w:cs="Tahoma"/>
        </w:rPr>
        <w:tab/>
      </w:r>
      <w:r w:rsidR="00B04B70">
        <w:rPr>
          <w:rFonts w:ascii="Tahoma" w:hAnsi="Tahoma" w:cs="Tahoma"/>
        </w:rPr>
        <w:t>New retail establishments, hotels, develop</w:t>
      </w:r>
      <w:r w:rsidR="005F0604">
        <w:rPr>
          <w:rFonts w:ascii="Tahoma" w:hAnsi="Tahoma" w:cs="Tahoma"/>
        </w:rPr>
        <w:t>ment</w:t>
      </w:r>
      <w:r w:rsidR="00B04B70">
        <w:rPr>
          <w:rFonts w:ascii="Tahoma" w:hAnsi="Tahoma" w:cs="Tahoma"/>
        </w:rPr>
        <w:t xml:space="preserve"> in </w:t>
      </w:r>
      <w:r w:rsidR="005F0604">
        <w:rPr>
          <w:rFonts w:ascii="Tahoma" w:hAnsi="Tahoma" w:cs="Tahoma"/>
        </w:rPr>
        <w:t>Downtown Waco,</w:t>
      </w:r>
      <w:r w:rsidR="00B04B70">
        <w:rPr>
          <w:rFonts w:ascii="Tahoma" w:hAnsi="Tahoma" w:cs="Tahoma"/>
        </w:rPr>
        <w:t xml:space="preserve"> and Baylor University</w:t>
      </w:r>
      <w:r w:rsidR="005F0604">
        <w:rPr>
          <w:rFonts w:ascii="Tahoma" w:hAnsi="Tahoma" w:cs="Tahoma"/>
        </w:rPr>
        <w:t xml:space="preserve"> facilities</w:t>
      </w:r>
      <w:r w:rsidR="00B04B70">
        <w:rPr>
          <w:rFonts w:ascii="Tahoma" w:hAnsi="Tahoma" w:cs="Tahoma"/>
        </w:rPr>
        <w:t xml:space="preserve"> have </w:t>
      </w:r>
      <w:r>
        <w:rPr>
          <w:rFonts w:ascii="Tahoma" w:hAnsi="Tahoma" w:cs="Tahoma"/>
        </w:rPr>
        <w:t>contri</w:t>
      </w:r>
      <w:r>
        <w:rPr>
          <w:rFonts w:ascii="Tahoma" w:hAnsi="Tahoma" w:cs="Tahoma"/>
        </w:rPr>
        <w:t>b</w:t>
      </w:r>
      <w:r>
        <w:rPr>
          <w:rFonts w:ascii="Tahoma" w:hAnsi="Tahoma" w:cs="Tahoma"/>
        </w:rPr>
        <w:t>uted to a dra</w:t>
      </w:r>
      <w:r w:rsidR="00B04B70">
        <w:rPr>
          <w:rFonts w:ascii="Tahoma" w:hAnsi="Tahoma" w:cs="Tahoma"/>
        </w:rPr>
        <w:t xml:space="preserve">matic </w:t>
      </w:r>
      <w:r>
        <w:rPr>
          <w:rFonts w:ascii="Tahoma" w:hAnsi="Tahoma" w:cs="Tahoma"/>
        </w:rPr>
        <w:t>increase in constru</w:t>
      </w:r>
      <w:r>
        <w:rPr>
          <w:rFonts w:ascii="Tahoma" w:hAnsi="Tahoma" w:cs="Tahoma"/>
        </w:rPr>
        <w:t>c</w:t>
      </w:r>
      <w:r>
        <w:rPr>
          <w:rFonts w:ascii="Tahoma" w:hAnsi="Tahoma" w:cs="Tahoma"/>
        </w:rPr>
        <w:t>tion spending</w:t>
      </w:r>
      <w:r w:rsidR="00B04B70">
        <w:rPr>
          <w:rFonts w:ascii="Tahoma" w:hAnsi="Tahoma" w:cs="Tahoma"/>
        </w:rPr>
        <w:t xml:space="preserve"> in Waco.  </w:t>
      </w:r>
      <w:r w:rsidR="00AE6D54" w:rsidRPr="00F82A43">
        <w:rPr>
          <w:rFonts w:ascii="Tahoma" w:hAnsi="Tahoma" w:cs="Tahoma"/>
        </w:rPr>
        <w:t xml:space="preserve">Single family home building permits totaled to 224 </w:t>
      </w:r>
      <w:r w:rsidR="00AE6D54" w:rsidRPr="00F82A43">
        <w:rPr>
          <w:rFonts w:ascii="Tahoma" w:hAnsi="Tahoma" w:cs="Tahoma"/>
        </w:rPr>
        <w:lastRenderedPageBreak/>
        <w:t>over the first six months of 2015, reac</w:t>
      </w:r>
      <w:r w:rsidR="00AE6D54" w:rsidRPr="00F82A43">
        <w:rPr>
          <w:rFonts w:ascii="Tahoma" w:hAnsi="Tahoma" w:cs="Tahoma"/>
        </w:rPr>
        <w:t>h</w:t>
      </w:r>
      <w:r w:rsidR="00AE6D54" w:rsidRPr="00F82A43">
        <w:rPr>
          <w:rFonts w:ascii="Tahoma" w:hAnsi="Tahoma" w:cs="Tahoma"/>
        </w:rPr>
        <w:t>ing</w:t>
      </w:r>
      <w:r w:rsidR="00AE6D54">
        <w:rPr>
          <w:rFonts w:ascii="Tahoma" w:hAnsi="Tahoma" w:cs="Tahoma"/>
        </w:rPr>
        <w:t xml:space="preserve"> </w:t>
      </w:r>
      <w:r w:rsidR="00AE6D54" w:rsidRPr="00F82A43">
        <w:rPr>
          <w:rFonts w:ascii="Tahoma" w:hAnsi="Tahoma" w:cs="Tahoma"/>
        </w:rPr>
        <w:t>the highest quarterly rate since 2008.  The number of closed housing sales over the first six months of 2015 totaled a record high of 1,352 units, amounting to a 27 percent increase from</w:t>
      </w:r>
      <w:r w:rsidR="00AE6D54">
        <w:rPr>
          <w:rFonts w:ascii="Tahoma" w:hAnsi="Tahoma" w:cs="Tahoma"/>
        </w:rPr>
        <w:t xml:space="preserve"> </w:t>
      </w:r>
      <w:r w:rsidR="00AE6D54" w:rsidRPr="00F82A43">
        <w:rPr>
          <w:rFonts w:ascii="Tahoma" w:hAnsi="Tahoma" w:cs="Tahoma"/>
        </w:rPr>
        <w:t>the first six months of 2014</w:t>
      </w:r>
      <w:r w:rsidR="00AE6D54">
        <w:rPr>
          <w:rFonts w:ascii="Tahoma" w:hAnsi="Tahoma" w:cs="Tahoma"/>
        </w:rPr>
        <w:t xml:space="preserve">.  </w:t>
      </w:r>
      <w:r w:rsidR="009E62BE" w:rsidRPr="00F82A43">
        <w:rPr>
          <w:rFonts w:ascii="Tahoma" w:hAnsi="Tahoma" w:cs="Tahoma"/>
        </w:rPr>
        <w:t xml:space="preserve">The share of 2013 real GDP in Waco MSA construction output is 36.3% higher than the share among all U.S. metro areas.  </w:t>
      </w:r>
      <w:r w:rsidR="004C515E" w:rsidRPr="00F82A43">
        <w:rPr>
          <w:rFonts w:ascii="Tahoma" w:hAnsi="Tahoma" w:cs="Tahoma"/>
        </w:rPr>
        <w:t>Over the last year the McLennan County tax base has increased 6 percent, mostly due to commercial and multifamily housing.</w:t>
      </w:r>
    </w:p>
    <w:p w:rsidR="005F0604" w:rsidRDefault="005F0604" w:rsidP="005F0604">
      <w:pPr>
        <w:tabs>
          <w:tab w:val="left" w:pos="0"/>
          <w:tab w:val="left" w:pos="540"/>
        </w:tabs>
        <w:spacing w:after="0"/>
        <w:jc w:val="both"/>
        <w:rPr>
          <w:rFonts w:ascii="Tahoma" w:hAnsi="Tahoma" w:cs="Tahoma"/>
        </w:rPr>
      </w:pPr>
      <w:r>
        <w:rPr>
          <w:rFonts w:ascii="Tahoma" w:hAnsi="Tahoma" w:cs="Tahoma"/>
        </w:rPr>
        <w:tab/>
        <w:t>The share of r</w:t>
      </w:r>
      <w:r w:rsidRPr="005915F5">
        <w:rPr>
          <w:rFonts w:ascii="Tahoma" w:hAnsi="Tahoma" w:cs="Tahoma"/>
        </w:rPr>
        <w:t>eal GDP in retail trade exceeded that U.S. metro average in 2012 and 2013.  Growth in discretio</w:t>
      </w:r>
      <w:r w:rsidRPr="005915F5">
        <w:rPr>
          <w:rFonts w:ascii="Tahoma" w:hAnsi="Tahoma" w:cs="Tahoma"/>
        </w:rPr>
        <w:t>n</w:t>
      </w:r>
      <w:r w:rsidRPr="005915F5">
        <w:rPr>
          <w:rFonts w:ascii="Tahoma" w:hAnsi="Tahoma" w:cs="Tahoma"/>
        </w:rPr>
        <w:t>ary income among local residents and visitors has increase</w:t>
      </w:r>
      <w:r>
        <w:rPr>
          <w:rFonts w:ascii="Tahoma" w:hAnsi="Tahoma" w:cs="Tahoma"/>
        </w:rPr>
        <w:t>d</w:t>
      </w:r>
      <w:r w:rsidRPr="005915F5">
        <w:rPr>
          <w:rFonts w:ascii="Tahoma" w:hAnsi="Tahoma" w:cs="Tahoma"/>
        </w:rPr>
        <w:t xml:space="preserve"> the pace of</w:t>
      </w:r>
      <w:r>
        <w:rPr>
          <w:rFonts w:ascii="Tahoma" w:hAnsi="Tahoma" w:cs="Tahoma"/>
        </w:rPr>
        <w:t xml:space="preserve"> growth in</w:t>
      </w:r>
      <w:r w:rsidRPr="005915F5">
        <w:rPr>
          <w:rFonts w:ascii="Tahoma" w:hAnsi="Tahoma" w:cs="Tahoma"/>
        </w:rPr>
        <w:t xml:space="preserve"> retail sales output since 2011</w:t>
      </w:r>
      <w:r>
        <w:rPr>
          <w:rFonts w:ascii="Tahoma" w:hAnsi="Tahoma" w:cs="Tahoma"/>
        </w:rPr>
        <w:t>.  O</w:t>
      </w:r>
      <w:r w:rsidRPr="005915F5">
        <w:rPr>
          <w:rFonts w:ascii="Tahoma" w:hAnsi="Tahoma" w:cs="Tahoma"/>
        </w:rPr>
        <w:t xml:space="preserve">ver the past two years </w:t>
      </w:r>
      <w:r>
        <w:rPr>
          <w:rFonts w:ascii="Tahoma" w:hAnsi="Tahoma" w:cs="Tahoma"/>
        </w:rPr>
        <w:t xml:space="preserve">durable goods sales have </w:t>
      </w:r>
      <w:r w:rsidRPr="005915F5">
        <w:rPr>
          <w:rFonts w:ascii="Tahoma" w:hAnsi="Tahoma" w:cs="Tahoma"/>
        </w:rPr>
        <w:t>increase</w:t>
      </w:r>
      <w:r>
        <w:rPr>
          <w:rFonts w:ascii="Tahoma" w:hAnsi="Tahoma" w:cs="Tahoma"/>
        </w:rPr>
        <w:t>d substantially</w:t>
      </w:r>
      <w:r w:rsidRPr="005915F5">
        <w:rPr>
          <w:rFonts w:ascii="Tahoma" w:hAnsi="Tahoma" w:cs="Tahoma"/>
        </w:rPr>
        <w:t>, led by spending on autos and trucks.</w:t>
      </w:r>
    </w:p>
    <w:p w:rsidR="005F0604" w:rsidRDefault="005F0604" w:rsidP="005F0604">
      <w:pPr>
        <w:tabs>
          <w:tab w:val="left" w:pos="0"/>
          <w:tab w:val="left" w:pos="540"/>
        </w:tabs>
        <w:spacing w:after="0"/>
        <w:jc w:val="both"/>
        <w:rPr>
          <w:rFonts w:ascii="Tahoma" w:hAnsi="Tahoma" w:cs="Tahoma"/>
        </w:rPr>
        <w:sectPr w:rsidR="005F0604" w:rsidSect="00AE6D54">
          <w:type w:val="continuous"/>
          <w:pgSz w:w="12240" w:h="15840"/>
          <w:pgMar w:top="1440" w:right="1350" w:bottom="1440" w:left="2070" w:header="720" w:footer="720" w:gutter="0"/>
          <w:cols w:num="2" w:space="720"/>
          <w:docGrid w:linePitch="360"/>
        </w:sectPr>
      </w:pPr>
    </w:p>
    <w:p w:rsidR="00B04B70" w:rsidRPr="005F0604" w:rsidRDefault="005F0604" w:rsidP="00F82A43">
      <w:pPr>
        <w:tabs>
          <w:tab w:val="left" w:pos="0"/>
          <w:tab w:val="left" w:pos="540"/>
        </w:tabs>
        <w:spacing w:after="0"/>
        <w:jc w:val="both"/>
        <w:rPr>
          <w:rFonts w:ascii="Tahoma" w:hAnsi="Tahoma" w:cs="Tahoma"/>
          <w:sz w:val="16"/>
          <w:szCs w:val="16"/>
        </w:rPr>
      </w:pPr>
      <w:r w:rsidRPr="005915F5">
        <w:rPr>
          <w:rFonts w:ascii="Tahoma" w:hAnsi="Tahoma" w:cs="Tahoma"/>
        </w:rPr>
        <w:lastRenderedPageBreak/>
        <w:t xml:space="preserve">  </w:t>
      </w:r>
    </w:p>
    <w:p w:rsidR="005F0604" w:rsidRDefault="005F0604" w:rsidP="00F82A43">
      <w:pPr>
        <w:tabs>
          <w:tab w:val="left" w:pos="0"/>
          <w:tab w:val="left" w:pos="540"/>
        </w:tabs>
        <w:spacing w:after="0"/>
        <w:jc w:val="both"/>
        <w:rPr>
          <w:rFonts w:ascii="Tahoma" w:hAnsi="Tahoma" w:cs="Tahoma"/>
        </w:rPr>
        <w:sectPr w:rsidR="005F0604" w:rsidSect="00AE6D54">
          <w:type w:val="continuous"/>
          <w:pgSz w:w="12240" w:h="15840"/>
          <w:pgMar w:top="1440" w:right="1350" w:bottom="1440" w:left="2070" w:header="720" w:footer="720" w:gutter="0"/>
          <w:cols w:num="2" w:space="720"/>
          <w:docGrid w:linePitch="360"/>
        </w:sectPr>
      </w:pPr>
      <w:r>
        <w:rPr>
          <w:rFonts w:ascii="Tahoma" w:hAnsi="Tahoma" w:cs="Tahoma"/>
        </w:rPr>
        <w:lastRenderedPageBreak/>
        <w:tab/>
      </w:r>
    </w:p>
    <w:p w:rsidR="000F288C" w:rsidRPr="0079155B" w:rsidRDefault="000F288C" w:rsidP="000F288C">
      <w:pPr>
        <w:tabs>
          <w:tab w:val="left" w:pos="0"/>
          <w:tab w:val="left" w:pos="540"/>
        </w:tabs>
        <w:spacing w:after="0" w:line="240" w:lineRule="auto"/>
        <w:jc w:val="center"/>
        <w:rPr>
          <w:rFonts w:ascii="Tahoma" w:hAnsi="Tahoma" w:cs="Tahoma"/>
          <w:sz w:val="20"/>
          <w:szCs w:val="20"/>
        </w:rPr>
      </w:pPr>
      <w:r w:rsidRPr="0079155B">
        <w:rPr>
          <w:rFonts w:ascii="Tahoma" w:hAnsi="Tahoma" w:cs="Tahoma"/>
          <w:sz w:val="20"/>
          <w:szCs w:val="20"/>
        </w:rPr>
        <w:lastRenderedPageBreak/>
        <w:t>Table 8</w:t>
      </w:r>
    </w:p>
    <w:p w:rsidR="000F288C" w:rsidRPr="0079155B" w:rsidRDefault="000F288C" w:rsidP="000F288C">
      <w:pPr>
        <w:tabs>
          <w:tab w:val="left" w:pos="0"/>
        </w:tabs>
        <w:spacing w:after="0" w:line="240" w:lineRule="auto"/>
        <w:jc w:val="center"/>
        <w:rPr>
          <w:rFonts w:ascii="Tahoma" w:hAnsi="Tahoma" w:cs="Tahoma"/>
          <w:sz w:val="20"/>
          <w:szCs w:val="20"/>
        </w:rPr>
      </w:pPr>
      <w:r w:rsidRPr="0079155B">
        <w:rPr>
          <w:rFonts w:ascii="Tahoma" w:hAnsi="Tahoma" w:cs="Tahoma"/>
          <w:sz w:val="20"/>
          <w:szCs w:val="20"/>
        </w:rPr>
        <w:t>Waco MSA 2013 Real GDP by Industry</w:t>
      </w:r>
    </w:p>
    <w:p w:rsidR="000F288C" w:rsidRPr="0079155B" w:rsidRDefault="000F288C" w:rsidP="000F288C">
      <w:pPr>
        <w:tabs>
          <w:tab w:val="left" w:pos="0"/>
        </w:tabs>
        <w:spacing w:after="0" w:line="240" w:lineRule="auto"/>
        <w:jc w:val="center"/>
        <w:rPr>
          <w:rFonts w:ascii="Tahoma" w:hAnsi="Tahoma" w:cs="Tahoma"/>
          <w:sz w:val="20"/>
          <w:szCs w:val="20"/>
        </w:rPr>
      </w:pPr>
      <w:r w:rsidRPr="0079155B">
        <w:rPr>
          <w:rFonts w:ascii="Tahoma" w:hAnsi="Tahoma" w:cs="Tahoma"/>
          <w:sz w:val="20"/>
          <w:szCs w:val="20"/>
        </w:rPr>
        <w:t>In chained 2009 dollars</w:t>
      </w:r>
    </w:p>
    <w:p w:rsidR="000F288C" w:rsidRPr="00417503" w:rsidRDefault="000F288C" w:rsidP="000F288C">
      <w:pPr>
        <w:tabs>
          <w:tab w:val="left" w:pos="0"/>
        </w:tabs>
        <w:spacing w:after="0" w:line="240" w:lineRule="auto"/>
        <w:jc w:val="center"/>
        <w:rPr>
          <w:rFonts w:ascii="Tahoma" w:hAnsi="Tahoma" w:cs="Tahoma"/>
          <w:sz w:val="16"/>
          <w:szCs w:val="16"/>
        </w:rPr>
      </w:pPr>
    </w:p>
    <w:tbl>
      <w:tblPr>
        <w:tblW w:w="8835" w:type="dxa"/>
        <w:tblInd w:w="93" w:type="dxa"/>
        <w:tblLook w:val="04A0" w:firstRow="1" w:lastRow="0" w:firstColumn="1" w:lastColumn="0" w:noHBand="0" w:noVBand="1"/>
      </w:tblPr>
      <w:tblGrid>
        <w:gridCol w:w="4965"/>
        <w:gridCol w:w="1350"/>
        <w:gridCol w:w="1260"/>
        <w:gridCol w:w="1260"/>
      </w:tblGrid>
      <w:tr w:rsidR="000F288C" w:rsidRPr="0079155B" w:rsidTr="005F0604">
        <w:trPr>
          <w:trHeight w:val="285"/>
        </w:trPr>
        <w:tc>
          <w:tcPr>
            <w:tcW w:w="4965" w:type="dxa"/>
            <w:tcBorders>
              <w:top w:val="single" w:sz="4" w:space="0" w:color="auto"/>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40" w:lineRule="auto"/>
              <w:jc w:val="center"/>
              <w:rPr>
                <w:rFonts w:ascii="Tahoma" w:eastAsia="Times New Roman" w:hAnsi="Tahoma" w:cs="Tahoma"/>
                <w:sz w:val="20"/>
                <w:szCs w:val="20"/>
              </w:rPr>
            </w:pPr>
            <w:r w:rsidRPr="005F0604">
              <w:rPr>
                <w:rFonts w:ascii="Tahoma" w:eastAsia="Times New Roman" w:hAnsi="Tahoma" w:cs="Tahoma"/>
                <w:sz w:val="20"/>
                <w:szCs w:val="20"/>
              </w:rPr>
              <w:t xml:space="preserve">Industry </w:t>
            </w:r>
          </w:p>
        </w:tc>
        <w:tc>
          <w:tcPr>
            <w:tcW w:w="1350" w:type="dxa"/>
            <w:tcBorders>
              <w:top w:val="single" w:sz="4" w:space="0" w:color="auto"/>
              <w:left w:val="nil"/>
              <w:bottom w:val="nil"/>
              <w:right w:val="single" w:sz="4" w:space="0" w:color="auto"/>
            </w:tcBorders>
            <w:shd w:val="clear" w:color="auto" w:fill="auto"/>
            <w:noWrap/>
            <w:vAlign w:val="bottom"/>
            <w:hideMark/>
          </w:tcPr>
          <w:p w:rsidR="000F288C" w:rsidRPr="005F0604" w:rsidRDefault="000F288C" w:rsidP="005F0604">
            <w:pPr>
              <w:spacing w:after="0" w:line="240" w:lineRule="auto"/>
              <w:jc w:val="center"/>
              <w:rPr>
                <w:rFonts w:ascii="Tahoma" w:eastAsia="Times New Roman" w:hAnsi="Tahoma" w:cs="Tahoma"/>
                <w:sz w:val="20"/>
                <w:szCs w:val="20"/>
              </w:rPr>
            </w:pPr>
            <w:r w:rsidRPr="005F0604">
              <w:rPr>
                <w:rFonts w:ascii="Tahoma" w:eastAsia="Times New Roman" w:hAnsi="Tahoma" w:cs="Tahoma"/>
                <w:sz w:val="20"/>
                <w:szCs w:val="20"/>
              </w:rPr>
              <w:t>Waco 2013 Real GDP</w:t>
            </w:r>
          </w:p>
        </w:tc>
        <w:tc>
          <w:tcPr>
            <w:tcW w:w="1260" w:type="dxa"/>
            <w:tcBorders>
              <w:top w:val="single" w:sz="4" w:space="0" w:color="auto"/>
              <w:left w:val="single" w:sz="4" w:space="0" w:color="auto"/>
              <w:bottom w:val="single" w:sz="4" w:space="0" w:color="auto"/>
            </w:tcBorders>
            <w:shd w:val="clear" w:color="auto" w:fill="auto"/>
            <w:noWrap/>
            <w:vAlign w:val="bottom"/>
            <w:hideMark/>
          </w:tcPr>
          <w:p w:rsidR="000F288C" w:rsidRPr="005F0604" w:rsidRDefault="000F288C" w:rsidP="005F0604">
            <w:pPr>
              <w:spacing w:after="0" w:line="240" w:lineRule="auto"/>
              <w:jc w:val="right"/>
              <w:rPr>
                <w:rFonts w:ascii="Tahoma" w:eastAsia="Times New Roman" w:hAnsi="Tahoma" w:cs="Tahoma"/>
                <w:sz w:val="20"/>
                <w:szCs w:val="20"/>
              </w:rPr>
            </w:pPr>
            <w:r w:rsidRPr="005F0604">
              <w:rPr>
                <w:rFonts w:ascii="Tahoma" w:eastAsia="Times New Roman" w:hAnsi="Tahoma" w:cs="Tahoma"/>
                <w:sz w:val="20"/>
                <w:szCs w:val="20"/>
              </w:rPr>
              <w:t xml:space="preserve">                   Percent of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F288C" w:rsidRPr="005F0604" w:rsidRDefault="000F288C" w:rsidP="005F0604">
            <w:pPr>
              <w:spacing w:after="0" w:line="240" w:lineRule="auto"/>
              <w:rPr>
                <w:rFonts w:ascii="Tahoma" w:eastAsia="Times New Roman" w:hAnsi="Tahoma" w:cs="Tahoma"/>
                <w:sz w:val="20"/>
                <w:szCs w:val="20"/>
              </w:rPr>
            </w:pPr>
            <w:r w:rsidRPr="005F0604">
              <w:rPr>
                <w:rFonts w:ascii="Tahoma" w:eastAsia="Times New Roman" w:hAnsi="Tahoma" w:cs="Tahoma"/>
                <w:sz w:val="20"/>
                <w:szCs w:val="20"/>
              </w:rPr>
              <w:t>2013 Total </w:t>
            </w:r>
          </w:p>
        </w:tc>
      </w:tr>
      <w:tr w:rsidR="000F288C" w:rsidRPr="0079155B" w:rsidTr="005F0604">
        <w:trPr>
          <w:trHeight w:val="404"/>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rsidR="000F288C" w:rsidRPr="005F0604" w:rsidRDefault="000F288C" w:rsidP="005F0604">
            <w:pPr>
              <w:spacing w:after="0" w:line="240" w:lineRule="auto"/>
              <w:rPr>
                <w:rFonts w:ascii="Tahoma" w:eastAsia="Times New Roman" w:hAnsi="Tahoma" w:cs="Tahoma"/>
                <w:sz w:val="20"/>
                <w:szCs w:val="20"/>
              </w:rPr>
            </w:pPr>
            <w:r w:rsidRPr="005F0604">
              <w:rPr>
                <w:rFonts w:ascii="Tahoma" w:eastAsia="Times New Roman" w:hAnsi="Tahoma" w:cs="Tahoma"/>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F288C" w:rsidRPr="005F0604" w:rsidRDefault="000F288C" w:rsidP="005F0604">
            <w:pPr>
              <w:spacing w:after="0" w:line="240" w:lineRule="auto"/>
              <w:jc w:val="center"/>
              <w:rPr>
                <w:rFonts w:ascii="Tahoma" w:eastAsia="Times New Roman" w:hAnsi="Tahoma" w:cs="Tahoma"/>
                <w:sz w:val="20"/>
                <w:szCs w:val="20"/>
              </w:rPr>
            </w:pPr>
            <w:r w:rsidRPr="005F0604">
              <w:rPr>
                <w:rFonts w:ascii="Tahoma" w:eastAsia="Times New Roman" w:hAnsi="Tahoma" w:cs="Tahoma"/>
                <w:sz w:val="20"/>
                <w:szCs w:val="20"/>
              </w:rPr>
              <w:t>millions in 2009 dollars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88C" w:rsidRPr="005F0604" w:rsidRDefault="000F288C" w:rsidP="005F0604">
            <w:pPr>
              <w:spacing w:after="0" w:line="240" w:lineRule="auto"/>
              <w:jc w:val="center"/>
              <w:rPr>
                <w:rFonts w:ascii="Tahoma" w:eastAsia="Times New Roman" w:hAnsi="Tahoma" w:cs="Tahoma"/>
                <w:sz w:val="20"/>
                <w:szCs w:val="20"/>
              </w:rPr>
            </w:pPr>
            <w:r w:rsidRPr="005F0604">
              <w:rPr>
                <w:rFonts w:ascii="Tahoma" w:eastAsia="Times New Roman" w:hAnsi="Tahoma" w:cs="Tahoma"/>
                <w:sz w:val="20"/>
                <w:szCs w:val="20"/>
              </w:rPr>
              <w:t>Waco MSA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88C" w:rsidRPr="005F0604" w:rsidRDefault="000F288C" w:rsidP="005F0604">
            <w:pPr>
              <w:spacing w:after="0" w:line="240" w:lineRule="auto"/>
              <w:jc w:val="center"/>
              <w:rPr>
                <w:rFonts w:ascii="Tahoma" w:eastAsia="Times New Roman" w:hAnsi="Tahoma" w:cs="Tahoma"/>
                <w:sz w:val="20"/>
                <w:szCs w:val="20"/>
              </w:rPr>
            </w:pPr>
            <w:r w:rsidRPr="005F0604">
              <w:rPr>
                <w:rFonts w:ascii="Tahoma" w:eastAsia="Times New Roman" w:hAnsi="Tahoma" w:cs="Tahoma"/>
                <w:sz w:val="20"/>
                <w:szCs w:val="20"/>
              </w:rPr>
              <w:t>U.S. MSAs</w:t>
            </w:r>
          </w:p>
        </w:tc>
      </w:tr>
      <w:tr w:rsidR="000F288C" w:rsidRPr="0079155B" w:rsidTr="005F0604">
        <w:trPr>
          <w:trHeight w:val="285"/>
        </w:trPr>
        <w:tc>
          <w:tcPr>
            <w:tcW w:w="4965"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rPr>
                <w:rFonts w:ascii="Tahoma" w:eastAsia="Times New Roman" w:hAnsi="Tahoma" w:cs="Tahoma"/>
                <w:sz w:val="20"/>
                <w:szCs w:val="20"/>
              </w:rPr>
            </w:pPr>
            <w:r w:rsidRPr="005F0604">
              <w:rPr>
                <w:rFonts w:ascii="Tahoma" w:eastAsia="Times New Roman" w:hAnsi="Tahoma" w:cs="Tahoma"/>
                <w:sz w:val="20"/>
                <w:szCs w:val="20"/>
              </w:rPr>
              <w:t xml:space="preserve">             Total All Industries </w:t>
            </w:r>
          </w:p>
        </w:tc>
        <w:tc>
          <w:tcPr>
            <w:tcW w:w="1350" w:type="dxa"/>
            <w:tcBorders>
              <w:top w:val="single" w:sz="4" w:space="0" w:color="auto"/>
              <w:left w:val="nil"/>
              <w:bottom w:val="nil"/>
              <w:right w:val="nil"/>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$9,257</w:t>
            </w:r>
          </w:p>
        </w:tc>
        <w:tc>
          <w:tcPr>
            <w:tcW w:w="1260" w:type="dxa"/>
            <w:tcBorders>
              <w:top w:val="single" w:sz="4" w:space="0" w:color="auto"/>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100</w:t>
            </w:r>
          </w:p>
        </w:tc>
        <w:tc>
          <w:tcPr>
            <w:tcW w:w="1260" w:type="dxa"/>
            <w:tcBorders>
              <w:top w:val="single" w:sz="4" w:space="0" w:color="auto"/>
              <w:left w:val="nil"/>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100</w:t>
            </w:r>
          </w:p>
        </w:tc>
      </w:tr>
      <w:tr w:rsidR="000F288C" w:rsidRPr="0079155B" w:rsidTr="005F0604">
        <w:trPr>
          <w:trHeight w:val="285"/>
        </w:trPr>
        <w:tc>
          <w:tcPr>
            <w:tcW w:w="4965"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ind w:hanging="86"/>
              <w:rPr>
                <w:rFonts w:ascii="Tahoma" w:eastAsia="Times New Roman" w:hAnsi="Tahoma" w:cs="Tahoma"/>
                <w:sz w:val="20"/>
                <w:szCs w:val="20"/>
              </w:rPr>
            </w:pPr>
            <w:r w:rsidRPr="005F0604">
              <w:rPr>
                <w:rFonts w:ascii="Tahoma" w:eastAsia="Times New Roman" w:hAnsi="Tahoma" w:cs="Tahoma"/>
                <w:sz w:val="20"/>
                <w:szCs w:val="20"/>
              </w:rPr>
              <w:t xml:space="preserve">    Construction</w:t>
            </w:r>
          </w:p>
        </w:tc>
        <w:tc>
          <w:tcPr>
            <w:tcW w:w="1350" w:type="dxa"/>
            <w:tcBorders>
              <w:top w:val="nil"/>
              <w:left w:val="nil"/>
              <w:bottom w:val="nil"/>
              <w:right w:val="nil"/>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$466</w:t>
            </w:r>
          </w:p>
        </w:tc>
        <w:tc>
          <w:tcPr>
            <w:tcW w:w="1260"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5.03</w:t>
            </w:r>
          </w:p>
        </w:tc>
        <w:tc>
          <w:tcPr>
            <w:tcW w:w="1260" w:type="dxa"/>
            <w:tcBorders>
              <w:top w:val="nil"/>
              <w:left w:val="nil"/>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3.69</w:t>
            </w:r>
          </w:p>
        </w:tc>
      </w:tr>
      <w:tr w:rsidR="000F288C" w:rsidRPr="0079155B" w:rsidTr="005F0604">
        <w:trPr>
          <w:trHeight w:val="285"/>
        </w:trPr>
        <w:tc>
          <w:tcPr>
            <w:tcW w:w="4965"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ind w:hanging="86"/>
              <w:rPr>
                <w:rFonts w:ascii="Tahoma" w:eastAsia="Times New Roman" w:hAnsi="Tahoma" w:cs="Tahoma"/>
                <w:sz w:val="20"/>
                <w:szCs w:val="20"/>
              </w:rPr>
            </w:pPr>
            <w:r w:rsidRPr="005F0604">
              <w:rPr>
                <w:rFonts w:ascii="Tahoma" w:eastAsia="Times New Roman" w:hAnsi="Tahoma" w:cs="Tahoma"/>
                <w:sz w:val="20"/>
                <w:szCs w:val="20"/>
              </w:rPr>
              <w:t xml:space="preserve">    Manufacturing</w:t>
            </w:r>
          </w:p>
        </w:tc>
        <w:tc>
          <w:tcPr>
            <w:tcW w:w="1350" w:type="dxa"/>
            <w:tcBorders>
              <w:top w:val="nil"/>
              <w:left w:val="nil"/>
              <w:bottom w:val="nil"/>
              <w:right w:val="nil"/>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$2,494</w:t>
            </w:r>
          </w:p>
        </w:tc>
        <w:tc>
          <w:tcPr>
            <w:tcW w:w="1260"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26.94</w:t>
            </w:r>
          </w:p>
        </w:tc>
        <w:tc>
          <w:tcPr>
            <w:tcW w:w="1260" w:type="dxa"/>
            <w:tcBorders>
              <w:top w:val="nil"/>
              <w:left w:val="nil"/>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11.89</w:t>
            </w:r>
          </w:p>
        </w:tc>
      </w:tr>
      <w:tr w:rsidR="000F288C" w:rsidRPr="0079155B" w:rsidTr="005F0604">
        <w:trPr>
          <w:trHeight w:val="285"/>
        </w:trPr>
        <w:tc>
          <w:tcPr>
            <w:tcW w:w="4965"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ind w:hanging="86"/>
              <w:rPr>
                <w:rFonts w:ascii="Tahoma" w:eastAsia="Times New Roman" w:hAnsi="Tahoma" w:cs="Tahoma"/>
                <w:sz w:val="20"/>
                <w:szCs w:val="20"/>
              </w:rPr>
            </w:pPr>
            <w:r w:rsidRPr="005F0604">
              <w:rPr>
                <w:rFonts w:ascii="Tahoma" w:eastAsia="Times New Roman" w:hAnsi="Tahoma" w:cs="Tahoma"/>
                <w:sz w:val="20"/>
                <w:szCs w:val="20"/>
              </w:rPr>
              <w:t xml:space="preserve">    Wholesale trade</w:t>
            </w:r>
          </w:p>
        </w:tc>
        <w:tc>
          <w:tcPr>
            <w:tcW w:w="1350" w:type="dxa"/>
            <w:tcBorders>
              <w:top w:val="nil"/>
              <w:left w:val="nil"/>
              <w:bottom w:val="nil"/>
              <w:right w:val="nil"/>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$485</w:t>
            </w:r>
          </w:p>
        </w:tc>
        <w:tc>
          <w:tcPr>
            <w:tcW w:w="1260"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5.24</w:t>
            </w:r>
          </w:p>
        </w:tc>
        <w:tc>
          <w:tcPr>
            <w:tcW w:w="1260" w:type="dxa"/>
            <w:tcBorders>
              <w:top w:val="nil"/>
              <w:left w:val="nil"/>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5.94</w:t>
            </w:r>
          </w:p>
        </w:tc>
      </w:tr>
      <w:tr w:rsidR="000F288C" w:rsidRPr="0079155B" w:rsidTr="005F0604">
        <w:trPr>
          <w:trHeight w:val="285"/>
        </w:trPr>
        <w:tc>
          <w:tcPr>
            <w:tcW w:w="4965"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ind w:hanging="86"/>
              <w:rPr>
                <w:rFonts w:ascii="Tahoma" w:eastAsia="Times New Roman" w:hAnsi="Tahoma" w:cs="Tahoma"/>
                <w:sz w:val="20"/>
                <w:szCs w:val="20"/>
              </w:rPr>
            </w:pPr>
            <w:r w:rsidRPr="005F0604">
              <w:rPr>
                <w:rFonts w:ascii="Tahoma" w:eastAsia="Times New Roman" w:hAnsi="Tahoma" w:cs="Tahoma"/>
                <w:sz w:val="20"/>
                <w:szCs w:val="20"/>
              </w:rPr>
              <w:t xml:space="preserve">    Retail trade</w:t>
            </w:r>
          </w:p>
        </w:tc>
        <w:tc>
          <w:tcPr>
            <w:tcW w:w="1350" w:type="dxa"/>
            <w:tcBorders>
              <w:top w:val="nil"/>
              <w:left w:val="nil"/>
              <w:bottom w:val="nil"/>
              <w:right w:val="nil"/>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$617</w:t>
            </w:r>
          </w:p>
        </w:tc>
        <w:tc>
          <w:tcPr>
            <w:tcW w:w="1260"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6.67</w:t>
            </w:r>
          </w:p>
        </w:tc>
        <w:tc>
          <w:tcPr>
            <w:tcW w:w="1260" w:type="dxa"/>
            <w:tcBorders>
              <w:top w:val="nil"/>
              <w:left w:val="nil"/>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5.68</w:t>
            </w:r>
          </w:p>
        </w:tc>
      </w:tr>
      <w:tr w:rsidR="000F288C" w:rsidRPr="0079155B" w:rsidTr="005F0604">
        <w:trPr>
          <w:trHeight w:val="285"/>
        </w:trPr>
        <w:tc>
          <w:tcPr>
            <w:tcW w:w="4965"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ind w:hanging="86"/>
              <w:rPr>
                <w:rFonts w:ascii="Tahoma" w:eastAsia="Times New Roman" w:hAnsi="Tahoma" w:cs="Tahoma"/>
                <w:sz w:val="20"/>
                <w:szCs w:val="20"/>
              </w:rPr>
            </w:pPr>
            <w:r w:rsidRPr="005F0604">
              <w:rPr>
                <w:rFonts w:ascii="Tahoma" w:eastAsia="Times New Roman" w:hAnsi="Tahoma" w:cs="Tahoma"/>
                <w:sz w:val="20"/>
                <w:szCs w:val="20"/>
              </w:rPr>
              <w:t xml:space="preserve">    Finance and insurance</w:t>
            </w:r>
          </w:p>
        </w:tc>
        <w:tc>
          <w:tcPr>
            <w:tcW w:w="1350" w:type="dxa"/>
            <w:tcBorders>
              <w:top w:val="nil"/>
              <w:left w:val="nil"/>
              <w:bottom w:val="nil"/>
              <w:right w:val="nil"/>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$551</w:t>
            </w:r>
          </w:p>
        </w:tc>
        <w:tc>
          <w:tcPr>
            <w:tcW w:w="1260"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5.95</w:t>
            </w:r>
          </w:p>
        </w:tc>
        <w:tc>
          <w:tcPr>
            <w:tcW w:w="1260" w:type="dxa"/>
            <w:tcBorders>
              <w:top w:val="nil"/>
              <w:left w:val="nil"/>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6.82</w:t>
            </w:r>
          </w:p>
        </w:tc>
      </w:tr>
      <w:tr w:rsidR="000F288C" w:rsidRPr="0079155B" w:rsidTr="005F0604">
        <w:trPr>
          <w:trHeight w:val="240"/>
        </w:trPr>
        <w:tc>
          <w:tcPr>
            <w:tcW w:w="4965"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ind w:hanging="86"/>
              <w:rPr>
                <w:rFonts w:ascii="Tahoma" w:eastAsia="Times New Roman" w:hAnsi="Tahoma" w:cs="Tahoma"/>
                <w:sz w:val="20"/>
                <w:szCs w:val="20"/>
              </w:rPr>
            </w:pPr>
            <w:r w:rsidRPr="005F0604">
              <w:rPr>
                <w:rFonts w:ascii="Tahoma" w:eastAsia="Times New Roman" w:hAnsi="Tahoma" w:cs="Tahoma"/>
                <w:sz w:val="20"/>
                <w:szCs w:val="20"/>
              </w:rPr>
              <w:t xml:space="preserve">    Real estate and rental and leasing</w:t>
            </w:r>
          </w:p>
        </w:tc>
        <w:tc>
          <w:tcPr>
            <w:tcW w:w="1350" w:type="dxa"/>
            <w:tcBorders>
              <w:top w:val="nil"/>
              <w:left w:val="nil"/>
              <w:bottom w:val="nil"/>
              <w:right w:val="nil"/>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$537</w:t>
            </w:r>
          </w:p>
        </w:tc>
        <w:tc>
          <w:tcPr>
            <w:tcW w:w="1260"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5.80</w:t>
            </w:r>
          </w:p>
        </w:tc>
        <w:tc>
          <w:tcPr>
            <w:tcW w:w="1260" w:type="dxa"/>
            <w:tcBorders>
              <w:top w:val="nil"/>
              <w:left w:val="nil"/>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14.06</w:t>
            </w:r>
          </w:p>
        </w:tc>
      </w:tr>
      <w:tr w:rsidR="000F288C" w:rsidRPr="0079155B" w:rsidTr="005F0604">
        <w:trPr>
          <w:trHeight w:val="285"/>
        </w:trPr>
        <w:tc>
          <w:tcPr>
            <w:tcW w:w="4965"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ind w:hanging="86"/>
              <w:rPr>
                <w:rFonts w:ascii="Tahoma" w:eastAsia="Times New Roman" w:hAnsi="Tahoma" w:cs="Tahoma"/>
                <w:sz w:val="20"/>
                <w:szCs w:val="20"/>
              </w:rPr>
            </w:pPr>
            <w:r w:rsidRPr="005F0604">
              <w:rPr>
                <w:rFonts w:ascii="Tahoma" w:eastAsia="Times New Roman" w:hAnsi="Tahoma" w:cs="Tahoma"/>
                <w:sz w:val="20"/>
                <w:szCs w:val="20"/>
              </w:rPr>
              <w:t xml:space="preserve">    Professional and business services</w:t>
            </w:r>
          </w:p>
        </w:tc>
        <w:tc>
          <w:tcPr>
            <w:tcW w:w="1350" w:type="dxa"/>
            <w:tcBorders>
              <w:top w:val="nil"/>
              <w:left w:val="nil"/>
              <w:bottom w:val="nil"/>
              <w:right w:val="nil"/>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$591</w:t>
            </w:r>
          </w:p>
        </w:tc>
        <w:tc>
          <w:tcPr>
            <w:tcW w:w="1260"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6.38</w:t>
            </w:r>
          </w:p>
        </w:tc>
        <w:tc>
          <w:tcPr>
            <w:tcW w:w="1260" w:type="dxa"/>
            <w:tcBorders>
              <w:top w:val="nil"/>
              <w:left w:val="nil"/>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13.00</w:t>
            </w:r>
          </w:p>
        </w:tc>
      </w:tr>
      <w:tr w:rsidR="000F288C" w:rsidRPr="0079155B" w:rsidTr="005F0604">
        <w:trPr>
          <w:trHeight w:val="285"/>
        </w:trPr>
        <w:tc>
          <w:tcPr>
            <w:tcW w:w="4965"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ind w:hanging="86"/>
              <w:rPr>
                <w:rFonts w:ascii="Tahoma" w:eastAsia="Times New Roman" w:hAnsi="Tahoma" w:cs="Tahoma"/>
                <w:sz w:val="20"/>
                <w:szCs w:val="20"/>
              </w:rPr>
            </w:pPr>
            <w:r w:rsidRPr="005F0604">
              <w:rPr>
                <w:rFonts w:ascii="Tahoma" w:eastAsia="Times New Roman" w:hAnsi="Tahoma" w:cs="Tahoma"/>
                <w:sz w:val="20"/>
                <w:szCs w:val="20"/>
              </w:rPr>
              <w:t xml:space="preserve">    Educational services</w:t>
            </w:r>
          </w:p>
        </w:tc>
        <w:tc>
          <w:tcPr>
            <w:tcW w:w="1350" w:type="dxa"/>
            <w:tcBorders>
              <w:top w:val="nil"/>
              <w:left w:val="nil"/>
              <w:bottom w:val="nil"/>
              <w:right w:val="nil"/>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$294</w:t>
            </w:r>
          </w:p>
        </w:tc>
        <w:tc>
          <w:tcPr>
            <w:tcW w:w="1260"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3.18</w:t>
            </w:r>
          </w:p>
        </w:tc>
        <w:tc>
          <w:tcPr>
            <w:tcW w:w="1260" w:type="dxa"/>
            <w:tcBorders>
              <w:top w:val="nil"/>
              <w:left w:val="nil"/>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1.11</w:t>
            </w:r>
          </w:p>
        </w:tc>
      </w:tr>
      <w:tr w:rsidR="000F288C" w:rsidRPr="0079155B" w:rsidTr="005F0604">
        <w:trPr>
          <w:trHeight w:val="285"/>
        </w:trPr>
        <w:tc>
          <w:tcPr>
            <w:tcW w:w="4965"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ind w:hanging="86"/>
              <w:rPr>
                <w:rFonts w:ascii="Tahoma" w:eastAsia="Times New Roman" w:hAnsi="Tahoma" w:cs="Tahoma"/>
                <w:sz w:val="20"/>
                <w:szCs w:val="20"/>
              </w:rPr>
            </w:pPr>
            <w:r w:rsidRPr="005F0604">
              <w:rPr>
                <w:rFonts w:ascii="Tahoma" w:eastAsia="Times New Roman" w:hAnsi="Tahoma" w:cs="Tahoma"/>
                <w:sz w:val="20"/>
                <w:szCs w:val="20"/>
              </w:rPr>
              <w:t xml:space="preserve">    Health care and social assistance</w:t>
            </w:r>
          </w:p>
        </w:tc>
        <w:tc>
          <w:tcPr>
            <w:tcW w:w="1350" w:type="dxa"/>
            <w:tcBorders>
              <w:top w:val="nil"/>
              <w:left w:val="nil"/>
              <w:bottom w:val="nil"/>
              <w:right w:val="nil"/>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$706</w:t>
            </w:r>
          </w:p>
        </w:tc>
        <w:tc>
          <w:tcPr>
            <w:tcW w:w="1260"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7.63</w:t>
            </w:r>
          </w:p>
        </w:tc>
        <w:tc>
          <w:tcPr>
            <w:tcW w:w="1260" w:type="dxa"/>
            <w:tcBorders>
              <w:top w:val="nil"/>
              <w:left w:val="nil"/>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7.30</w:t>
            </w:r>
          </w:p>
        </w:tc>
      </w:tr>
      <w:tr w:rsidR="000F288C" w:rsidRPr="0079155B" w:rsidTr="005F0604">
        <w:trPr>
          <w:trHeight w:val="285"/>
        </w:trPr>
        <w:tc>
          <w:tcPr>
            <w:tcW w:w="4965"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ind w:hanging="86"/>
              <w:rPr>
                <w:rFonts w:ascii="Tahoma" w:eastAsia="Times New Roman" w:hAnsi="Tahoma" w:cs="Tahoma"/>
                <w:sz w:val="20"/>
                <w:szCs w:val="20"/>
              </w:rPr>
            </w:pPr>
            <w:r w:rsidRPr="005F0604">
              <w:rPr>
                <w:rFonts w:ascii="Tahoma" w:eastAsia="Times New Roman" w:hAnsi="Tahoma" w:cs="Tahoma"/>
                <w:sz w:val="20"/>
                <w:szCs w:val="20"/>
              </w:rPr>
              <w:t xml:space="preserve">    Arts, recreation, accommodation, and food services</w:t>
            </w:r>
          </w:p>
        </w:tc>
        <w:tc>
          <w:tcPr>
            <w:tcW w:w="1350" w:type="dxa"/>
            <w:tcBorders>
              <w:top w:val="nil"/>
              <w:left w:val="nil"/>
              <w:bottom w:val="nil"/>
              <w:right w:val="nil"/>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$299</w:t>
            </w:r>
          </w:p>
        </w:tc>
        <w:tc>
          <w:tcPr>
            <w:tcW w:w="1260"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3.23</w:t>
            </w:r>
          </w:p>
        </w:tc>
        <w:tc>
          <w:tcPr>
            <w:tcW w:w="1260" w:type="dxa"/>
            <w:tcBorders>
              <w:top w:val="nil"/>
              <w:left w:val="nil"/>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3.83</w:t>
            </w:r>
          </w:p>
        </w:tc>
      </w:tr>
      <w:tr w:rsidR="000F288C" w:rsidRPr="0079155B" w:rsidTr="005F0604">
        <w:trPr>
          <w:trHeight w:val="270"/>
        </w:trPr>
        <w:tc>
          <w:tcPr>
            <w:tcW w:w="4965"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ind w:hanging="86"/>
              <w:rPr>
                <w:rFonts w:ascii="Tahoma" w:eastAsia="Times New Roman" w:hAnsi="Tahoma" w:cs="Tahoma"/>
                <w:sz w:val="20"/>
                <w:szCs w:val="20"/>
              </w:rPr>
            </w:pPr>
            <w:r w:rsidRPr="005F0604">
              <w:rPr>
                <w:rFonts w:ascii="Tahoma" w:eastAsia="Times New Roman" w:hAnsi="Tahoma" w:cs="Tahoma"/>
                <w:sz w:val="20"/>
                <w:szCs w:val="20"/>
              </w:rPr>
              <w:t xml:space="preserve">    Other services, except government</w:t>
            </w:r>
          </w:p>
        </w:tc>
        <w:tc>
          <w:tcPr>
            <w:tcW w:w="1350" w:type="dxa"/>
            <w:tcBorders>
              <w:top w:val="nil"/>
              <w:left w:val="nil"/>
              <w:bottom w:val="nil"/>
              <w:right w:val="nil"/>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$210</w:t>
            </w:r>
          </w:p>
        </w:tc>
        <w:tc>
          <w:tcPr>
            <w:tcW w:w="1260" w:type="dxa"/>
            <w:tcBorders>
              <w:top w:val="nil"/>
              <w:left w:val="single" w:sz="4" w:space="0" w:color="auto"/>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2.27</w:t>
            </w:r>
          </w:p>
        </w:tc>
        <w:tc>
          <w:tcPr>
            <w:tcW w:w="1260" w:type="dxa"/>
            <w:tcBorders>
              <w:top w:val="nil"/>
              <w:left w:val="nil"/>
              <w:bottom w:val="nil"/>
              <w:right w:val="single" w:sz="4" w:space="0" w:color="auto"/>
            </w:tcBorders>
            <w:shd w:val="clear" w:color="auto" w:fill="auto"/>
            <w:noWrap/>
            <w:vAlign w:val="bottom"/>
            <w:hideMark/>
          </w:tcPr>
          <w:p w:rsidR="000F288C" w:rsidRPr="005F0604" w:rsidRDefault="000F288C" w:rsidP="005F0604">
            <w:pPr>
              <w:spacing w:after="0" w:line="271" w:lineRule="auto"/>
              <w:jc w:val="right"/>
              <w:rPr>
                <w:rFonts w:ascii="Tahoma" w:eastAsia="Times New Roman" w:hAnsi="Tahoma" w:cs="Tahoma"/>
                <w:sz w:val="20"/>
                <w:szCs w:val="20"/>
              </w:rPr>
            </w:pPr>
            <w:r w:rsidRPr="005F0604">
              <w:rPr>
                <w:rFonts w:ascii="Tahoma" w:eastAsia="Times New Roman" w:hAnsi="Tahoma" w:cs="Tahoma"/>
                <w:sz w:val="20"/>
                <w:szCs w:val="20"/>
              </w:rPr>
              <w:t>2.06</w:t>
            </w:r>
          </w:p>
        </w:tc>
      </w:tr>
      <w:tr w:rsidR="000F288C" w:rsidRPr="0079155B" w:rsidTr="000D102B">
        <w:trPr>
          <w:trHeight w:val="207"/>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rsidR="000F288C" w:rsidRPr="0079155B" w:rsidRDefault="000F288C" w:rsidP="005F0604">
            <w:pPr>
              <w:spacing w:after="0" w:line="271" w:lineRule="auto"/>
              <w:ind w:hanging="86"/>
              <w:rPr>
                <w:rFonts w:ascii="Tahoma" w:eastAsia="Times New Roman" w:hAnsi="Tahoma" w:cs="Tahoma"/>
                <w:sz w:val="20"/>
                <w:szCs w:val="20"/>
              </w:rPr>
            </w:pPr>
            <w:r w:rsidRPr="0079155B">
              <w:rPr>
                <w:rFonts w:ascii="Tahoma" w:eastAsia="Times New Roman" w:hAnsi="Tahoma" w:cs="Tahoma"/>
                <w:sz w:val="20"/>
                <w:szCs w:val="20"/>
              </w:rPr>
              <w:t xml:space="preserve">    Government</w:t>
            </w:r>
          </w:p>
        </w:tc>
        <w:tc>
          <w:tcPr>
            <w:tcW w:w="1350" w:type="dxa"/>
            <w:tcBorders>
              <w:top w:val="nil"/>
              <w:left w:val="nil"/>
              <w:bottom w:val="single" w:sz="4" w:space="0" w:color="auto"/>
              <w:right w:val="nil"/>
            </w:tcBorders>
            <w:shd w:val="clear" w:color="auto" w:fill="auto"/>
            <w:noWrap/>
            <w:vAlign w:val="bottom"/>
            <w:hideMark/>
          </w:tcPr>
          <w:p w:rsidR="000F288C" w:rsidRPr="0079155B" w:rsidRDefault="000F288C" w:rsidP="005F0604">
            <w:pPr>
              <w:spacing w:after="0" w:line="271" w:lineRule="auto"/>
              <w:jc w:val="right"/>
              <w:rPr>
                <w:rFonts w:ascii="Tahoma" w:eastAsia="Times New Roman" w:hAnsi="Tahoma" w:cs="Tahoma"/>
                <w:sz w:val="20"/>
                <w:szCs w:val="20"/>
              </w:rPr>
            </w:pPr>
            <w:r w:rsidRPr="0079155B">
              <w:rPr>
                <w:rFonts w:ascii="Tahoma" w:eastAsia="Times New Roman" w:hAnsi="Tahoma" w:cs="Tahoma"/>
                <w:sz w:val="20"/>
                <w:szCs w:val="20"/>
              </w:rPr>
              <w:t>$1,211</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0F288C" w:rsidRPr="0079155B" w:rsidRDefault="000F288C" w:rsidP="005F0604">
            <w:pPr>
              <w:spacing w:after="0" w:line="271" w:lineRule="auto"/>
              <w:jc w:val="right"/>
              <w:rPr>
                <w:rFonts w:ascii="Tahoma" w:eastAsia="Times New Roman" w:hAnsi="Tahoma" w:cs="Tahoma"/>
                <w:sz w:val="20"/>
                <w:szCs w:val="20"/>
              </w:rPr>
            </w:pPr>
            <w:r w:rsidRPr="0079155B">
              <w:rPr>
                <w:rFonts w:ascii="Tahoma" w:eastAsia="Times New Roman" w:hAnsi="Tahoma" w:cs="Tahoma"/>
                <w:sz w:val="20"/>
                <w:szCs w:val="20"/>
              </w:rPr>
              <w:t>13.08</w:t>
            </w:r>
          </w:p>
        </w:tc>
        <w:tc>
          <w:tcPr>
            <w:tcW w:w="1260" w:type="dxa"/>
            <w:tcBorders>
              <w:top w:val="nil"/>
              <w:left w:val="nil"/>
              <w:bottom w:val="single" w:sz="4" w:space="0" w:color="auto"/>
              <w:right w:val="single" w:sz="4" w:space="0" w:color="auto"/>
            </w:tcBorders>
            <w:shd w:val="clear" w:color="auto" w:fill="auto"/>
            <w:noWrap/>
            <w:vAlign w:val="bottom"/>
            <w:hideMark/>
          </w:tcPr>
          <w:p w:rsidR="000F288C" w:rsidRPr="0079155B" w:rsidRDefault="000F288C" w:rsidP="005F0604">
            <w:pPr>
              <w:spacing w:after="0" w:line="271" w:lineRule="auto"/>
              <w:jc w:val="right"/>
              <w:rPr>
                <w:rFonts w:ascii="Tahoma" w:eastAsia="Times New Roman" w:hAnsi="Tahoma" w:cs="Tahoma"/>
                <w:sz w:val="20"/>
                <w:szCs w:val="20"/>
              </w:rPr>
            </w:pPr>
            <w:r w:rsidRPr="0079155B">
              <w:rPr>
                <w:rFonts w:ascii="Tahoma" w:eastAsia="Times New Roman" w:hAnsi="Tahoma" w:cs="Tahoma"/>
                <w:sz w:val="20"/>
                <w:szCs w:val="20"/>
              </w:rPr>
              <w:t>12.19</w:t>
            </w:r>
          </w:p>
        </w:tc>
      </w:tr>
    </w:tbl>
    <w:p w:rsidR="000F288C" w:rsidRDefault="000F288C" w:rsidP="000F288C">
      <w:pPr>
        <w:tabs>
          <w:tab w:val="left" w:pos="0"/>
        </w:tabs>
        <w:spacing w:after="0" w:line="240" w:lineRule="auto"/>
        <w:rPr>
          <w:sz w:val="18"/>
          <w:szCs w:val="18"/>
        </w:rPr>
        <w:sectPr w:rsidR="000F288C" w:rsidSect="009961BB">
          <w:type w:val="continuous"/>
          <w:pgSz w:w="12240" w:h="15840"/>
          <w:pgMar w:top="1440" w:right="1350" w:bottom="1440" w:left="2070" w:header="720" w:footer="720" w:gutter="0"/>
          <w:cols w:space="720"/>
          <w:docGrid w:linePitch="360"/>
        </w:sectPr>
      </w:pPr>
      <w:r w:rsidRPr="007F1646">
        <w:rPr>
          <w:sz w:val="18"/>
          <w:szCs w:val="18"/>
        </w:rPr>
        <w:t>Source:  U.S. Bureau of Economic Analysis</w:t>
      </w:r>
    </w:p>
    <w:p w:rsidR="00F82A43" w:rsidRDefault="00F82A43" w:rsidP="009D27CF">
      <w:pPr>
        <w:tabs>
          <w:tab w:val="left" w:pos="0"/>
          <w:tab w:val="left" w:pos="540"/>
        </w:tabs>
        <w:spacing w:before="120" w:after="0"/>
        <w:jc w:val="both"/>
        <w:rPr>
          <w:sz w:val="24"/>
          <w:szCs w:val="24"/>
        </w:rPr>
        <w:sectPr w:rsidR="00F82A43" w:rsidSect="00F82A43">
          <w:type w:val="continuous"/>
          <w:pgSz w:w="12240" w:h="15840"/>
          <w:pgMar w:top="1440" w:right="1350" w:bottom="1440" w:left="2070" w:header="720" w:footer="720" w:gutter="0"/>
          <w:cols w:num="2" w:space="720"/>
          <w:docGrid w:linePitch="360"/>
        </w:sectPr>
      </w:pPr>
    </w:p>
    <w:p w:rsidR="005915F5" w:rsidRDefault="00420CB6" w:rsidP="00420CB6">
      <w:pPr>
        <w:tabs>
          <w:tab w:val="left" w:pos="0"/>
          <w:tab w:val="left" w:pos="540"/>
        </w:tabs>
        <w:spacing w:after="0"/>
        <w:jc w:val="both"/>
        <w:rPr>
          <w:rFonts w:ascii="Tahoma" w:hAnsi="Tahoma" w:cs="Tahoma"/>
        </w:rPr>
      </w:pPr>
      <w:r>
        <w:rPr>
          <w:sz w:val="24"/>
          <w:szCs w:val="24"/>
        </w:rPr>
        <w:lastRenderedPageBreak/>
        <w:tab/>
      </w:r>
      <w:r w:rsidR="00506769">
        <w:rPr>
          <w:rFonts w:ascii="Tahoma" w:hAnsi="Tahoma" w:cs="Tahoma"/>
        </w:rPr>
        <w:tab/>
      </w:r>
      <w:r w:rsidR="00480B34" w:rsidRPr="005915F5">
        <w:rPr>
          <w:rFonts w:ascii="Tahoma" w:hAnsi="Tahoma" w:cs="Tahoma"/>
        </w:rPr>
        <w:t xml:space="preserve">The location of Waco along </w:t>
      </w:r>
      <w:r w:rsidR="00A33EB9" w:rsidRPr="005915F5">
        <w:rPr>
          <w:rFonts w:ascii="Tahoma" w:hAnsi="Tahoma" w:cs="Tahoma"/>
        </w:rPr>
        <w:t xml:space="preserve">the Interstate 35 corridor coupled with </w:t>
      </w:r>
      <w:r w:rsidR="00506769">
        <w:rPr>
          <w:rFonts w:ascii="Tahoma" w:hAnsi="Tahoma" w:cs="Tahoma"/>
        </w:rPr>
        <w:t xml:space="preserve">the success of Baylor’s athletic teams, the </w:t>
      </w:r>
      <w:r w:rsidR="00A33EB9" w:rsidRPr="005915F5">
        <w:rPr>
          <w:rFonts w:ascii="Tahoma" w:hAnsi="Tahoma" w:cs="Tahoma"/>
        </w:rPr>
        <w:t>development of visitor attractions, such as the Mammoth Park, excellent acco</w:t>
      </w:r>
      <w:r w:rsidR="00A33EB9" w:rsidRPr="005915F5">
        <w:rPr>
          <w:rFonts w:ascii="Tahoma" w:hAnsi="Tahoma" w:cs="Tahoma"/>
        </w:rPr>
        <w:t>m</w:t>
      </w:r>
      <w:r w:rsidR="00A33EB9" w:rsidRPr="005915F5">
        <w:rPr>
          <w:rFonts w:ascii="Tahoma" w:hAnsi="Tahoma" w:cs="Tahoma"/>
        </w:rPr>
        <w:t>modations, food service, convention faci</w:t>
      </w:r>
      <w:r w:rsidR="00A33EB9" w:rsidRPr="005915F5">
        <w:rPr>
          <w:rFonts w:ascii="Tahoma" w:hAnsi="Tahoma" w:cs="Tahoma"/>
        </w:rPr>
        <w:t>l</w:t>
      </w:r>
      <w:r w:rsidR="00A33EB9" w:rsidRPr="005915F5">
        <w:rPr>
          <w:rFonts w:ascii="Tahoma" w:hAnsi="Tahoma" w:cs="Tahoma"/>
        </w:rPr>
        <w:t xml:space="preserve">ities, leisure and hospitality events, and national recognition from HGTV’s “Fixer-Upper” have </w:t>
      </w:r>
      <w:r w:rsidR="00506769">
        <w:rPr>
          <w:rFonts w:ascii="Tahoma" w:hAnsi="Tahoma" w:cs="Tahoma"/>
        </w:rPr>
        <w:t>put Waco on the map that is successfully attracting investors.</w:t>
      </w:r>
    </w:p>
    <w:p w:rsidR="00A43296" w:rsidRDefault="008C54CE" w:rsidP="005915F5">
      <w:pPr>
        <w:tabs>
          <w:tab w:val="left" w:pos="0"/>
          <w:tab w:val="left" w:pos="540"/>
        </w:tabs>
        <w:spacing w:after="0"/>
        <w:jc w:val="both"/>
        <w:rPr>
          <w:rFonts w:ascii="Tahoma" w:hAnsi="Tahoma" w:cs="Tahoma"/>
        </w:rPr>
      </w:pPr>
      <w:r>
        <w:rPr>
          <w:rFonts w:ascii="Tahoma" w:hAnsi="Tahoma" w:cs="Tahoma"/>
        </w:rPr>
        <w:tab/>
        <w:t>Perhaps the strongest</w:t>
      </w:r>
      <w:r w:rsidR="00F711CB">
        <w:rPr>
          <w:rFonts w:ascii="Tahoma" w:hAnsi="Tahoma" w:cs="Tahoma"/>
        </w:rPr>
        <w:t xml:space="preserve"> </w:t>
      </w:r>
      <w:r>
        <w:rPr>
          <w:rFonts w:ascii="Tahoma" w:hAnsi="Tahoma" w:cs="Tahoma"/>
        </w:rPr>
        <w:t>force</w:t>
      </w:r>
      <w:r w:rsidR="007479B4">
        <w:rPr>
          <w:rFonts w:ascii="Tahoma" w:hAnsi="Tahoma" w:cs="Tahoma"/>
        </w:rPr>
        <w:t xml:space="preserve"> </w:t>
      </w:r>
      <w:r w:rsidR="00F711CB">
        <w:rPr>
          <w:rFonts w:ascii="Tahoma" w:hAnsi="Tahoma" w:cs="Tahoma"/>
        </w:rPr>
        <w:t>favo</w:t>
      </w:r>
      <w:r w:rsidR="00F711CB">
        <w:rPr>
          <w:rFonts w:ascii="Tahoma" w:hAnsi="Tahoma" w:cs="Tahoma"/>
        </w:rPr>
        <w:t>r</w:t>
      </w:r>
      <w:r w:rsidR="00F711CB">
        <w:rPr>
          <w:rFonts w:ascii="Tahoma" w:hAnsi="Tahoma" w:cs="Tahoma"/>
        </w:rPr>
        <w:t xml:space="preserve">ing Waco’s future </w:t>
      </w:r>
      <w:r>
        <w:rPr>
          <w:rFonts w:ascii="Tahoma" w:hAnsi="Tahoma" w:cs="Tahoma"/>
        </w:rPr>
        <w:t xml:space="preserve">is </w:t>
      </w:r>
      <w:r w:rsidR="00E643B7">
        <w:rPr>
          <w:rFonts w:ascii="Tahoma" w:hAnsi="Tahoma" w:cs="Tahoma"/>
        </w:rPr>
        <w:t>its</w:t>
      </w:r>
      <w:r>
        <w:rPr>
          <w:rFonts w:ascii="Tahoma" w:hAnsi="Tahoma" w:cs="Tahoma"/>
        </w:rPr>
        <w:t xml:space="preserve"> leadership and active participation of its citizens </w:t>
      </w:r>
      <w:r w:rsidR="005E1090">
        <w:rPr>
          <w:rFonts w:ascii="Tahoma" w:hAnsi="Tahoma" w:cs="Tahoma"/>
        </w:rPr>
        <w:t>who</w:t>
      </w:r>
      <w:r>
        <w:rPr>
          <w:rFonts w:ascii="Tahoma" w:hAnsi="Tahoma" w:cs="Tahoma"/>
        </w:rPr>
        <w:t xml:space="preserve"> </w:t>
      </w:r>
      <w:r w:rsidR="007479B4">
        <w:rPr>
          <w:rFonts w:ascii="Tahoma" w:hAnsi="Tahoma" w:cs="Tahoma"/>
        </w:rPr>
        <w:t xml:space="preserve">have </w:t>
      </w:r>
      <w:r w:rsidR="00A43296">
        <w:rPr>
          <w:rFonts w:ascii="Tahoma" w:hAnsi="Tahoma" w:cs="Tahoma"/>
        </w:rPr>
        <w:t>observed</w:t>
      </w:r>
      <w:r w:rsidR="007479B4">
        <w:rPr>
          <w:rFonts w:ascii="Tahoma" w:hAnsi="Tahoma" w:cs="Tahoma"/>
        </w:rPr>
        <w:t xml:space="preserve"> </w:t>
      </w:r>
      <w:r w:rsidR="005E1090">
        <w:rPr>
          <w:rFonts w:ascii="Tahoma" w:hAnsi="Tahoma" w:cs="Tahoma"/>
        </w:rPr>
        <w:t xml:space="preserve">the </w:t>
      </w:r>
      <w:r>
        <w:rPr>
          <w:rFonts w:ascii="Tahoma" w:hAnsi="Tahoma" w:cs="Tahoma"/>
        </w:rPr>
        <w:t>fruits</w:t>
      </w:r>
      <w:r w:rsidR="005E1090">
        <w:rPr>
          <w:rFonts w:ascii="Tahoma" w:hAnsi="Tahoma" w:cs="Tahoma"/>
        </w:rPr>
        <w:t xml:space="preserve"> of</w:t>
      </w:r>
      <w:r>
        <w:rPr>
          <w:rFonts w:ascii="Tahoma" w:hAnsi="Tahoma" w:cs="Tahoma"/>
        </w:rPr>
        <w:t xml:space="preserve"> their efforts.  We </w:t>
      </w:r>
      <w:r w:rsidR="005E1090">
        <w:rPr>
          <w:rFonts w:ascii="Tahoma" w:hAnsi="Tahoma" w:cs="Tahoma"/>
        </w:rPr>
        <w:t>have a history of turning outside di</w:t>
      </w:r>
      <w:r w:rsidR="005E1090">
        <w:rPr>
          <w:rFonts w:ascii="Tahoma" w:hAnsi="Tahoma" w:cs="Tahoma"/>
        </w:rPr>
        <w:t>s</w:t>
      </w:r>
      <w:r w:rsidR="005E1090">
        <w:rPr>
          <w:rFonts w:ascii="Tahoma" w:hAnsi="Tahoma" w:cs="Tahoma"/>
        </w:rPr>
        <w:t xml:space="preserve">turbances into long run successes.   We </w:t>
      </w:r>
      <w:r>
        <w:rPr>
          <w:rFonts w:ascii="Tahoma" w:hAnsi="Tahoma" w:cs="Tahoma"/>
        </w:rPr>
        <w:t>survived the closing of James</w:t>
      </w:r>
      <w:r w:rsidR="004827D8">
        <w:rPr>
          <w:rFonts w:ascii="Tahoma" w:hAnsi="Tahoma" w:cs="Tahoma"/>
        </w:rPr>
        <w:t xml:space="preserve"> </w:t>
      </w:r>
      <w:r>
        <w:rPr>
          <w:rFonts w:ascii="Tahoma" w:hAnsi="Tahoma" w:cs="Tahoma"/>
        </w:rPr>
        <w:t>Connally Air Force Base in 1968</w:t>
      </w:r>
      <w:r w:rsidR="004827D8">
        <w:rPr>
          <w:rFonts w:ascii="Tahoma" w:hAnsi="Tahoma" w:cs="Tahoma"/>
        </w:rPr>
        <w:t xml:space="preserve"> </w:t>
      </w:r>
      <w:r w:rsidR="00B52DC5">
        <w:rPr>
          <w:rFonts w:ascii="Tahoma" w:hAnsi="Tahoma" w:cs="Tahoma"/>
        </w:rPr>
        <w:t xml:space="preserve">the year before I moved to Waco </w:t>
      </w:r>
      <w:r w:rsidR="004827D8">
        <w:rPr>
          <w:rFonts w:ascii="Tahoma" w:hAnsi="Tahoma" w:cs="Tahoma"/>
        </w:rPr>
        <w:t xml:space="preserve">that </w:t>
      </w:r>
      <w:r w:rsidR="00B52DC5">
        <w:rPr>
          <w:rFonts w:ascii="Tahoma" w:hAnsi="Tahoma" w:cs="Tahoma"/>
        </w:rPr>
        <w:t>is now</w:t>
      </w:r>
      <w:r w:rsidR="004827D8">
        <w:rPr>
          <w:rFonts w:ascii="Tahoma" w:hAnsi="Tahoma" w:cs="Tahoma"/>
        </w:rPr>
        <w:t xml:space="preserve"> Texas State </w:t>
      </w:r>
      <w:r w:rsidR="004827D8">
        <w:rPr>
          <w:rFonts w:ascii="Tahoma" w:hAnsi="Tahoma" w:cs="Tahoma"/>
        </w:rPr>
        <w:lastRenderedPageBreak/>
        <w:t>Technical College</w:t>
      </w:r>
      <w:r w:rsidR="00B52DC5">
        <w:rPr>
          <w:rFonts w:ascii="Tahoma" w:hAnsi="Tahoma" w:cs="Tahoma"/>
        </w:rPr>
        <w:t xml:space="preserve"> and </w:t>
      </w:r>
      <w:r w:rsidR="004827D8">
        <w:rPr>
          <w:rFonts w:ascii="Tahoma" w:hAnsi="Tahoma" w:cs="Tahoma"/>
        </w:rPr>
        <w:t>a major industrial airport</w:t>
      </w:r>
      <w:r w:rsidR="00B52DC5">
        <w:rPr>
          <w:rFonts w:ascii="Tahoma" w:hAnsi="Tahoma" w:cs="Tahoma"/>
        </w:rPr>
        <w:t>.</w:t>
      </w:r>
      <w:r w:rsidR="004827D8">
        <w:rPr>
          <w:rFonts w:ascii="Tahoma" w:hAnsi="Tahoma" w:cs="Tahoma"/>
        </w:rPr>
        <w:t xml:space="preserve"> </w:t>
      </w:r>
      <w:r w:rsidR="00B52DC5">
        <w:rPr>
          <w:rFonts w:ascii="Tahoma" w:hAnsi="Tahoma" w:cs="Tahoma"/>
        </w:rPr>
        <w:t xml:space="preserve"> </w:t>
      </w:r>
      <w:r w:rsidR="004827D8">
        <w:rPr>
          <w:rFonts w:ascii="Tahoma" w:hAnsi="Tahoma" w:cs="Tahoma"/>
        </w:rPr>
        <w:t xml:space="preserve">We overcame the loss 1,400 jobs with the closing of General Tire in 1985 that in now the </w:t>
      </w:r>
      <w:r w:rsidR="00B52DC5">
        <w:rPr>
          <w:rFonts w:ascii="Tahoma" w:hAnsi="Tahoma" w:cs="Tahoma"/>
        </w:rPr>
        <w:t xml:space="preserve">Baylor Research and Innovation Collaborative (BRIC) that is launching high-tech development in Waco.  We worked hard to capture the Bush Presidential Library on the site that is now McLane Stadium.  </w:t>
      </w:r>
      <w:r w:rsidR="005E1090">
        <w:rPr>
          <w:rFonts w:ascii="Tahoma" w:hAnsi="Tahoma" w:cs="Tahoma"/>
        </w:rPr>
        <w:t xml:space="preserve">We have turned a frequently flooding Brazos </w:t>
      </w:r>
      <w:r w:rsidR="0013393E">
        <w:rPr>
          <w:rFonts w:ascii="Tahoma" w:hAnsi="Tahoma" w:cs="Tahoma"/>
        </w:rPr>
        <w:t>r</w:t>
      </w:r>
      <w:r w:rsidR="005E1090">
        <w:rPr>
          <w:rFonts w:ascii="Tahoma" w:hAnsi="Tahoma" w:cs="Tahoma"/>
        </w:rPr>
        <w:t xml:space="preserve">iver into a </w:t>
      </w:r>
      <w:r w:rsidR="0013393E">
        <w:rPr>
          <w:rFonts w:ascii="Tahoma" w:hAnsi="Tahoma" w:cs="Tahoma"/>
        </w:rPr>
        <w:t xml:space="preserve">constant level </w:t>
      </w:r>
      <w:r w:rsidR="00E643B7">
        <w:rPr>
          <w:rFonts w:ascii="Tahoma" w:hAnsi="Tahoma" w:cs="Tahoma"/>
        </w:rPr>
        <w:t xml:space="preserve">Brazos River Corridor that </w:t>
      </w:r>
      <w:r w:rsidR="005E1090">
        <w:rPr>
          <w:rFonts w:ascii="Tahoma" w:hAnsi="Tahoma" w:cs="Tahoma"/>
        </w:rPr>
        <w:t>is a major catal</w:t>
      </w:r>
      <w:r w:rsidR="0013393E">
        <w:rPr>
          <w:rFonts w:ascii="Tahoma" w:hAnsi="Tahoma" w:cs="Tahoma"/>
        </w:rPr>
        <w:t xml:space="preserve">yst for </w:t>
      </w:r>
      <w:r w:rsidR="00E643B7">
        <w:rPr>
          <w:rFonts w:ascii="Tahoma" w:hAnsi="Tahoma" w:cs="Tahoma"/>
        </w:rPr>
        <w:t>the continued d</w:t>
      </w:r>
      <w:r w:rsidR="00E643B7">
        <w:rPr>
          <w:rFonts w:ascii="Tahoma" w:hAnsi="Tahoma" w:cs="Tahoma"/>
        </w:rPr>
        <w:t>e</w:t>
      </w:r>
      <w:r w:rsidR="00E643B7">
        <w:rPr>
          <w:rFonts w:ascii="Tahoma" w:hAnsi="Tahoma" w:cs="Tahoma"/>
        </w:rPr>
        <w:t xml:space="preserve">velopment of Downtown Waco. </w:t>
      </w:r>
    </w:p>
    <w:p w:rsidR="00F711CB" w:rsidRDefault="00A43296" w:rsidP="005915F5">
      <w:pPr>
        <w:tabs>
          <w:tab w:val="left" w:pos="0"/>
          <w:tab w:val="left" w:pos="540"/>
        </w:tabs>
        <w:spacing w:after="0"/>
        <w:jc w:val="both"/>
        <w:rPr>
          <w:rFonts w:ascii="Tahoma" w:hAnsi="Tahoma" w:cs="Tahoma"/>
        </w:rPr>
      </w:pPr>
      <w:r>
        <w:rPr>
          <w:rFonts w:ascii="Tahoma" w:hAnsi="Tahoma" w:cs="Tahoma"/>
        </w:rPr>
        <w:tab/>
      </w:r>
      <w:r w:rsidR="00E643B7">
        <w:rPr>
          <w:rFonts w:ascii="Tahoma" w:hAnsi="Tahoma" w:cs="Tahoma"/>
        </w:rPr>
        <w:t xml:space="preserve"> </w:t>
      </w:r>
      <w:r w:rsidR="00B52DC5">
        <w:rPr>
          <w:rFonts w:ascii="Tahoma" w:hAnsi="Tahoma" w:cs="Tahoma"/>
        </w:rPr>
        <w:t xml:space="preserve">Whatever the challenge, we have the </w:t>
      </w:r>
      <w:r w:rsidR="00BE6626">
        <w:rPr>
          <w:rFonts w:ascii="Tahoma" w:hAnsi="Tahoma" w:cs="Tahoma"/>
        </w:rPr>
        <w:t xml:space="preserve">community </w:t>
      </w:r>
      <w:r w:rsidR="00B52DC5">
        <w:rPr>
          <w:rFonts w:ascii="Tahoma" w:hAnsi="Tahoma" w:cs="Tahoma"/>
        </w:rPr>
        <w:t>commitment and the r</w:t>
      </w:r>
      <w:r w:rsidR="00B52DC5">
        <w:rPr>
          <w:rFonts w:ascii="Tahoma" w:hAnsi="Tahoma" w:cs="Tahoma"/>
        </w:rPr>
        <w:t>e</w:t>
      </w:r>
      <w:r w:rsidR="00B52DC5">
        <w:rPr>
          <w:rFonts w:ascii="Tahoma" w:hAnsi="Tahoma" w:cs="Tahoma"/>
        </w:rPr>
        <w:t xml:space="preserve">sources to “fix-it.”  </w:t>
      </w:r>
      <w:r w:rsidR="00EF73B8">
        <w:rPr>
          <w:rFonts w:ascii="Tahoma" w:hAnsi="Tahoma" w:cs="Tahoma"/>
        </w:rPr>
        <w:t xml:space="preserve"> In my mind</w:t>
      </w:r>
      <w:r w:rsidR="008341DC">
        <w:rPr>
          <w:rFonts w:ascii="Tahoma" w:hAnsi="Tahoma" w:cs="Tahoma"/>
        </w:rPr>
        <w:t>,</w:t>
      </w:r>
      <w:r w:rsidR="00EF73B8">
        <w:rPr>
          <w:rFonts w:ascii="Tahoma" w:hAnsi="Tahoma" w:cs="Tahoma"/>
        </w:rPr>
        <w:t xml:space="preserve"> </w:t>
      </w:r>
      <w:r w:rsidR="008341DC">
        <w:rPr>
          <w:rFonts w:ascii="Tahoma" w:hAnsi="Tahoma" w:cs="Tahoma"/>
        </w:rPr>
        <w:t xml:space="preserve">based on recent performance, the future of the Waco economy </w:t>
      </w:r>
      <w:r w:rsidR="00EF73B8">
        <w:rPr>
          <w:rFonts w:ascii="Tahoma" w:hAnsi="Tahoma" w:cs="Tahoma"/>
        </w:rPr>
        <w:t>has never seemed brighter than</w:t>
      </w:r>
      <w:r w:rsidR="00F711CB">
        <w:rPr>
          <w:rFonts w:ascii="Tahoma" w:hAnsi="Tahoma" w:cs="Tahoma"/>
        </w:rPr>
        <w:t xml:space="preserve"> it is</w:t>
      </w:r>
      <w:r w:rsidR="00EF73B8">
        <w:rPr>
          <w:rFonts w:ascii="Tahoma" w:hAnsi="Tahoma" w:cs="Tahoma"/>
        </w:rPr>
        <w:t xml:space="preserve"> today!</w:t>
      </w:r>
    </w:p>
    <w:p w:rsidR="00E643B7" w:rsidRDefault="00E643B7" w:rsidP="005915F5">
      <w:pPr>
        <w:tabs>
          <w:tab w:val="left" w:pos="0"/>
          <w:tab w:val="left" w:pos="540"/>
        </w:tabs>
        <w:spacing w:after="0"/>
        <w:jc w:val="both"/>
        <w:rPr>
          <w:rFonts w:ascii="Tahoma" w:hAnsi="Tahoma" w:cs="Tahoma"/>
        </w:rPr>
        <w:sectPr w:rsidR="00E643B7" w:rsidSect="005915F5">
          <w:type w:val="continuous"/>
          <w:pgSz w:w="12240" w:h="15840"/>
          <w:pgMar w:top="1440" w:right="1350" w:bottom="1440" w:left="2070" w:header="720" w:footer="720" w:gutter="0"/>
          <w:cols w:num="2" w:space="720"/>
          <w:docGrid w:linePitch="360"/>
        </w:sectPr>
      </w:pPr>
    </w:p>
    <w:p w:rsidR="00F711CB" w:rsidRDefault="00F711CB" w:rsidP="005915F5">
      <w:pPr>
        <w:tabs>
          <w:tab w:val="left" w:pos="0"/>
          <w:tab w:val="left" w:pos="540"/>
        </w:tabs>
        <w:spacing w:after="0"/>
        <w:jc w:val="both"/>
        <w:rPr>
          <w:rFonts w:ascii="Tahoma" w:hAnsi="Tahoma" w:cs="Tahoma"/>
        </w:rPr>
      </w:pPr>
    </w:p>
    <w:p w:rsidR="00F711CB" w:rsidRDefault="00F711CB" w:rsidP="005915F5">
      <w:pPr>
        <w:tabs>
          <w:tab w:val="left" w:pos="0"/>
          <w:tab w:val="left" w:pos="540"/>
        </w:tabs>
        <w:spacing w:after="0"/>
        <w:jc w:val="both"/>
        <w:rPr>
          <w:rFonts w:ascii="Tahoma" w:hAnsi="Tahoma" w:cs="Tahoma"/>
        </w:rPr>
        <w:sectPr w:rsidR="00F711CB" w:rsidSect="005915F5">
          <w:type w:val="continuous"/>
          <w:pgSz w:w="12240" w:h="15840"/>
          <w:pgMar w:top="1440" w:right="1350" w:bottom="1440" w:left="2070" w:header="720" w:footer="720" w:gutter="0"/>
          <w:cols w:num="2" w:space="720"/>
          <w:docGrid w:linePitch="360"/>
        </w:sectPr>
      </w:pPr>
    </w:p>
    <w:p w:rsidR="00EF73B8" w:rsidRDefault="00EF73B8" w:rsidP="005915F5">
      <w:pPr>
        <w:tabs>
          <w:tab w:val="left" w:pos="0"/>
          <w:tab w:val="left" w:pos="540"/>
        </w:tabs>
        <w:spacing w:after="0"/>
        <w:jc w:val="both"/>
        <w:rPr>
          <w:rFonts w:ascii="Tahoma" w:hAnsi="Tahoma" w:cs="Tahoma"/>
        </w:rPr>
      </w:pPr>
      <w:r>
        <w:rPr>
          <w:rFonts w:ascii="Tahoma" w:hAnsi="Tahoma" w:cs="Tahoma"/>
        </w:rPr>
        <w:lastRenderedPageBreak/>
        <w:t xml:space="preserve"> </w:t>
      </w:r>
    </w:p>
    <w:p w:rsidR="005915F5" w:rsidRPr="005915F5" w:rsidRDefault="005915F5" w:rsidP="005915F5">
      <w:pPr>
        <w:tabs>
          <w:tab w:val="left" w:pos="0"/>
          <w:tab w:val="left" w:pos="540"/>
        </w:tabs>
        <w:spacing w:after="0"/>
        <w:jc w:val="both"/>
        <w:rPr>
          <w:rFonts w:ascii="Tahoma" w:hAnsi="Tahoma" w:cs="Tahoma"/>
        </w:rPr>
        <w:sectPr w:rsidR="005915F5" w:rsidRPr="005915F5" w:rsidSect="005915F5">
          <w:type w:val="continuous"/>
          <w:pgSz w:w="12240" w:h="15840"/>
          <w:pgMar w:top="1440" w:right="1350" w:bottom="1440" w:left="2070" w:header="720" w:footer="720" w:gutter="0"/>
          <w:cols w:num="2" w:space="720"/>
          <w:docGrid w:linePitch="360"/>
        </w:sectPr>
      </w:pPr>
      <w:r>
        <w:rPr>
          <w:rFonts w:ascii="Tahoma" w:hAnsi="Tahoma" w:cs="Tahoma"/>
        </w:rPr>
        <w:lastRenderedPageBreak/>
        <w:tab/>
      </w:r>
      <w:r w:rsidR="007028D3">
        <w:rPr>
          <w:rFonts w:ascii="Tahoma" w:hAnsi="Tahoma" w:cs="Tahoma"/>
        </w:rPr>
        <w:t xml:space="preserve"> </w:t>
      </w:r>
    </w:p>
    <w:p w:rsidR="00D3327B" w:rsidRDefault="00A33EB9" w:rsidP="009D27CF">
      <w:pPr>
        <w:tabs>
          <w:tab w:val="left" w:pos="0"/>
          <w:tab w:val="left" w:pos="540"/>
        </w:tabs>
        <w:spacing w:before="120" w:after="0"/>
        <w:jc w:val="both"/>
        <w:rPr>
          <w:sz w:val="24"/>
          <w:szCs w:val="24"/>
        </w:rPr>
      </w:pPr>
      <w:r>
        <w:rPr>
          <w:sz w:val="24"/>
          <w:szCs w:val="24"/>
        </w:rPr>
        <w:lastRenderedPageBreak/>
        <w:t xml:space="preserve">   </w:t>
      </w:r>
      <w:r w:rsidR="00480B34">
        <w:rPr>
          <w:sz w:val="24"/>
          <w:szCs w:val="24"/>
        </w:rPr>
        <w:t xml:space="preserve">  </w:t>
      </w:r>
    </w:p>
    <w:p w:rsidR="00D3327B" w:rsidRDefault="00D3327B" w:rsidP="00D3327B">
      <w:pPr>
        <w:tabs>
          <w:tab w:val="left" w:pos="0"/>
        </w:tabs>
        <w:spacing w:before="120" w:after="0"/>
        <w:jc w:val="both"/>
        <w:rPr>
          <w:sz w:val="24"/>
          <w:szCs w:val="24"/>
        </w:rPr>
      </w:pPr>
    </w:p>
    <w:p w:rsidR="003F0686" w:rsidRPr="00DD5334" w:rsidRDefault="003F0686" w:rsidP="003F0686">
      <w:pPr>
        <w:tabs>
          <w:tab w:val="left" w:pos="0"/>
        </w:tabs>
        <w:spacing w:after="0" w:line="240" w:lineRule="auto"/>
        <w:jc w:val="both"/>
        <w:rPr>
          <w:sz w:val="24"/>
          <w:szCs w:val="24"/>
        </w:rPr>
      </w:pPr>
    </w:p>
    <w:sectPr w:rsidR="003F0686" w:rsidRPr="00DD5334" w:rsidSect="009961BB">
      <w:type w:val="continuous"/>
      <w:pgSz w:w="12240" w:h="15840"/>
      <w:pgMar w:top="1440" w:right="1350" w:bottom="1440" w:left="20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862" w:rsidRDefault="00C53862" w:rsidP="00A345C6">
      <w:pPr>
        <w:spacing w:after="0" w:line="240" w:lineRule="auto"/>
      </w:pPr>
      <w:r>
        <w:separator/>
      </w:r>
    </w:p>
  </w:endnote>
  <w:endnote w:type="continuationSeparator" w:id="0">
    <w:p w:rsidR="00C53862" w:rsidRDefault="00C53862" w:rsidP="00A3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333344"/>
      <w:docPartObj>
        <w:docPartGallery w:val="Page Numbers (Bottom of Page)"/>
        <w:docPartUnique/>
      </w:docPartObj>
    </w:sdtPr>
    <w:sdtEndPr>
      <w:rPr>
        <w:noProof/>
      </w:rPr>
    </w:sdtEndPr>
    <w:sdtContent>
      <w:p w:rsidR="00D837DA" w:rsidRDefault="00D837DA">
        <w:pPr>
          <w:pStyle w:val="Footer"/>
          <w:jc w:val="center"/>
        </w:pPr>
        <w:r>
          <w:fldChar w:fldCharType="begin"/>
        </w:r>
        <w:r>
          <w:instrText xml:space="preserve"> PAGE   \* MERGEFORMAT </w:instrText>
        </w:r>
        <w:r>
          <w:fldChar w:fldCharType="separate"/>
        </w:r>
        <w:r w:rsidR="00276557">
          <w:rPr>
            <w:noProof/>
          </w:rPr>
          <w:t>4</w:t>
        </w:r>
        <w:r>
          <w:rPr>
            <w:noProof/>
          </w:rPr>
          <w:fldChar w:fldCharType="end"/>
        </w:r>
      </w:p>
    </w:sdtContent>
  </w:sdt>
  <w:p w:rsidR="00D837DA" w:rsidRDefault="00D83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862" w:rsidRDefault="00C53862" w:rsidP="00A345C6">
      <w:pPr>
        <w:spacing w:after="0" w:line="240" w:lineRule="auto"/>
      </w:pPr>
      <w:r>
        <w:separator/>
      </w:r>
    </w:p>
  </w:footnote>
  <w:footnote w:type="continuationSeparator" w:id="0">
    <w:p w:rsidR="00C53862" w:rsidRDefault="00C53862" w:rsidP="00A34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7E34"/>
    <w:multiLevelType w:val="hybridMultilevel"/>
    <w:tmpl w:val="F3CED606"/>
    <w:lvl w:ilvl="0" w:tplc="B1DCC1DE">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72"/>
    <w:rsid w:val="00001A43"/>
    <w:rsid w:val="00006F6F"/>
    <w:rsid w:val="00013AFA"/>
    <w:rsid w:val="00016019"/>
    <w:rsid w:val="00017E8F"/>
    <w:rsid w:val="0002130D"/>
    <w:rsid w:val="000239C3"/>
    <w:rsid w:val="00036719"/>
    <w:rsid w:val="00040E13"/>
    <w:rsid w:val="00053004"/>
    <w:rsid w:val="00054500"/>
    <w:rsid w:val="0005555E"/>
    <w:rsid w:val="00060AEA"/>
    <w:rsid w:val="00065207"/>
    <w:rsid w:val="00072B0F"/>
    <w:rsid w:val="000769D6"/>
    <w:rsid w:val="00083A4C"/>
    <w:rsid w:val="00085395"/>
    <w:rsid w:val="00091360"/>
    <w:rsid w:val="00093739"/>
    <w:rsid w:val="0009390C"/>
    <w:rsid w:val="00094015"/>
    <w:rsid w:val="000952F1"/>
    <w:rsid w:val="00095BC6"/>
    <w:rsid w:val="00097CFE"/>
    <w:rsid w:val="000A2BCF"/>
    <w:rsid w:val="000B0F75"/>
    <w:rsid w:val="000B31D3"/>
    <w:rsid w:val="000B64EA"/>
    <w:rsid w:val="000C058E"/>
    <w:rsid w:val="000C4E34"/>
    <w:rsid w:val="000D102B"/>
    <w:rsid w:val="000D3771"/>
    <w:rsid w:val="000D4E38"/>
    <w:rsid w:val="000D60E4"/>
    <w:rsid w:val="000D788C"/>
    <w:rsid w:val="000E16BE"/>
    <w:rsid w:val="000E1B90"/>
    <w:rsid w:val="000E3EE8"/>
    <w:rsid w:val="000E5843"/>
    <w:rsid w:val="000F288C"/>
    <w:rsid w:val="00106EB5"/>
    <w:rsid w:val="00116FCC"/>
    <w:rsid w:val="00120C7F"/>
    <w:rsid w:val="00125DCC"/>
    <w:rsid w:val="001305DC"/>
    <w:rsid w:val="001329D6"/>
    <w:rsid w:val="00132D34"/>
    <w:rsid w:val="0013391E"/>
    <w:rsid w:val="0013393E"/>
    <w:rsid w:val="00135F1D"/>
    <w:rsid w:val="00140D82"/>
    <w:rsid w:val="00153F3C"/>
    <w:rsid w:val="00161D5A"/>
    <w:rsid w:val="001658AC"/>
    <w:rsid w:val="00170DF7"/>
    <w:rsid w:val="00180485"/>
    <w:rsid w:val="001833F2"/>
    <w:rsid w:val="001840F1"/>
    <w:rsid w:val="00184BEC"/>
    <w:rsid w:val="00185E50"/>
    <w:rsid w:val="00186007"/>
    <w:rsid w:val="00191DAF"/>
    <w:rsid w:val="001A1B2A"/>
    <w:rsid w:val="001A474B"/>
    <w:rsid w:val="001B3A37"/>
    <w:rsid w:val="001B4BC9"/>
    <w:rsid w:val="001B5261"/>
    <w:rsid w:val="001B7466"/>
    <w:rsid w:val="001B7CC1"/>
    <w:rsid w:val="001C3434"/>
    <w:rsid w:val="001C7C3E"/>
    <w:rsid w:val="001D5A94"/>
    <w:rsid w:val="001D5B42"/>
    <w:rsid w:val="001F1DE7"/>
    <w:rsid w:val="001F262D"/>
    <w:rsid w:val="001F336C"/>
    <w:rsid w:val="001F5508"/>
    <w:rsid w:val="001F6DB3"/>
    <w:rsid w:val="002033AA"/>
    <w:rsid w:val="00204376"/>
    <w:rsid w:val="00207E44"/>
    <w:rsid w:val="002100D0"/>
    <w:rsid w:val="0021023F"/>
    <w:rsid w:val="0021347E"/>
    <w:rsid w:val="002175F9"/>
    <w:rsid w:val="002232F3"/>
    <w:rsid w:val="0022354D"/>
    <w:rsid w:val="002236B9"/>
    <w:rsid w:val="00226474"/>
    <w:rsid w:val="0023018B"/>
    <w:rsid w:val="00231BD7"/>
    <w:rsid w:val="00256D15"/>
    <w:rsid w:val="00272336"/>
    <w:rsid w:val="00272CF8"/>
    <w:rsid w:val="00276557"/>
    <w:rsid w:val="00276E70"/>
    <w:rsid w:val="002779C2"/>
    <w:rsid w:val="002821E1"/>
    <w:rsid w:val="002825A9"/>
    <w:rsid w:val="00284106"/>
    <w:rsid w:val="00286D57"/>
    <w:rsid w:val="00287109"/>
    <w:rsid w:val="00290742"/>
    <w:rsid w:val="00291C3C"/>
    <w:rsid w:val="00291E1E"/>
    <w:rsid w:val="00293F29"/>
    <w:rsid w:val="002A01F8"/>
    <w:rsid w:val="002A2ABB"/>
    <w:rsid w:val="002A5433"/>
    <w:rsid w:val="002A66C4"/>
    <w:rsid w:val="002B1DF3"/>
    <w:rsid w:val="002B56AB"/>
    <w:rsid w:val="002B6122"/>
    <w:rsid w:val="002C685E"/>
    <w:rsid w:val="002D104B"/>
    <w:rsid w:val="002D1E03"/>
    <w:rsid w:val="002D3C2D"/>
    <w:rsid w:val="002E1171"/>
    <w:rsid w:val="002E326D"/>
    <w:rsid w:val="002E4D2D"/>
    <w:rsid w:val="002E52B6"/>
    <w:rsid w:val="002E646F"/>
    <w:rsid w:val="002F17EC"/>
    <w:rsid w:val="002F1896"/>
    <w:rsid w:val="002F4214"/>
    <w:rsid w:val="002F564A"/>
    <w:rsid w:val="002F6A0B"/>
    <w:rsid w:val="00301987"/>
    <w:rsid w:val="00304CF1"/>
    <w:rsid w:val="0031236B"/>
    <w:rsid w:val="00324164"/>
    <w:rsid w:val="00325221"/>
    <w:rsid w:val="0032610E"/>
    <w:rsid w:val="00342210"/>
    <w:rsid w:val="00342CF8"/>
    <w:rsid w:val="00343AC5"/>
    <w:rsid w:val="00345B8B"/>
    <w:rsid w:val="00351A6B"/>
    <w:rsid w:val="003553AD"/>
    <w:rsid w:val="00356047"/>
    <w:rsid w:val="00361351"/>
    <w:rsid w:val="00363DBA"/>
    <w:rsid w:val="003669DE"/>
    <w:rsid w:val="003676FE"/>
    <w:rsid w:val="003819DD"/>
    <w:rsid w:val="00384AC2"/>
    <w:rsid w:val="00385CC4"/>
    <w:rsid w:val="003862CC"/>
    <w:rsid w:val="0038682A"/>
    <w:rsid w:val="003913F7"/>
    <w:rsid w:val="00397276"/>
    <w:rsid w:val="00397BE6"/>
    <w:rsid w:val="00397C87"/>
    <w:rsid w:val="003A0803"/>
    <w:rsid w:val="003A1155"/>
    <w:rsid w:val="003A40D6"/>
    <w:rsid w:val="003B4086"/>
    <w:rsid w:val="003B42F4"/>
    <w:rsid w:val="003C205B"/>
    <w:rsid w:val="003D5175"/>
    <w:rsid w:val="003D7CC9"/>
    <w:rsid w:val="003E0347"/>
    <w:rsid w:val="003E0BB9"/>
    <w:rsid w:val="003E33D6"/>
    <w:rsid w:val="003F0686"/>
    <w:rsid w:val="003F281C"/>
    <w:rsid w:val="003F3C71"/>
    <w:rsid w:val="003F7C8F"/>
    <w:rsid w:val="004013B2"/>
    <w:rsid w:val="004068D0"/>
    <w:rsid w:val="00406BEA"/>
    <w:rsid w:val="004122D8"/>
    <w:rsid w:val="00412334"/>
    <w:rsid w:val="00415D00"/>
    <w:rsid w:val="00417503"/>
    <w:rsid w:val="00420CB6"/>
    <w:rsid w:val="00431CCF"/>
    <w:rsid w:val="00437210"/>
    <w:rsid w:val="00446321"/>
    <w:rsid w:val="00454848"/>
    <w:rsid w:val="004564BF"/>
    <w:rsid w:val="0045706E"/>
    <w:rsid w:val="00460DC7"/>
    <w:rsid w:val="00466A64"/>
    <w:rsid w:val="004671D5"/>
    <w:rsid w:val="00480B34"/>
    <w:rsid w:val="004825C2"/>
    <w:rsid w:val="004827D8"/>
    <w:rsid w:val="00486AB4"/>
    <w:rsid w:val="00490C1B"/>
    <w:rsid w:val="004B289F"/>
    <w:rsid w:val="004C0E96"/>
    <w:rsid w:val="004C21E2"/>
    <w:rsid w:val="004C4327"/>
    <w:rsid w:val="004C515E"/>
    <w:rsid w:val="004C58F0"/>
    <w:rsid w:val="004D168A"/>
    <w:rsid w:val="004E5A96"/>
    <w:rsid w:val="004E5BD9"/>
    <w:rsid w:val="004F31E7"/>
    <w:rsid w:val="004F61A0"/>
    <w:rsid w:val="004F7BD5"/>
    <w:rsid w:val="00500AEC"/>
    <w:rsid w:val="00506769"/>
    <w:rsid w:val="005067B4"/>
    <w:rsid w:val="00510EB1"/>
    <w:rsid w:val="00511AD0"/>
    <w:rsid w:val="00515834"/>
    <w:rsid w:val="00521472"/>
    <w:rsid w:val="00525D78"/>
    <w:rsid w:val="005300CD"/>
    <w:rsid w:val="00530975"/>
    <w:rsid w:val="005456B2"/>
    <w:rsid w:val="00550EFA"/>
    <w:rsid w:val="005638CB"/>
    <w:rsid w:val="005655DC"/>
    <w:rsid w:val="00571FF0"/>
    <w:rsid w:val="005731A9"/>
    <w:rsid w:val="00573EDA"/>
    <w:rsid w:val="00575B8D"/>
    <w:rsid w:val="005846EF"/>
    <w:rsid w:val="005915F5"/>
    <w:rsid w:val="005956F5"/>
    <w:rsid w:val="005A24CD"/>
    <w:rsid w:val="005A3C21"/>
    <w:rsid w:val="005A5011"/>
    <w:rsid w:val="005A743E"/>
    <w:rsid w:val="005A74E4"/>
    <w:rsid w:val="005A7FCA"/>
    <w:rsid w:val="005B41E6"/>
    <w:rsid w:val="005B6C52"/>
    <w:rsid w:val="005C21C6"/>
    <w:rsid w:val="005C4C5D"/>
    <w:rsid w:val="005C4CE1"/>
    <w:rsid w:val="005D14D4"/>
    <w:rsid w:val="005D5652"/>
    <w:rsid w:val="005E1090"/>
    <w:rsid w:val="005E1968"/>
    <w:rsid w:val="005E22B8"/>
    <w:rsid w:val="005E39D8"/>
    <w:rsid w:val="005E572D"/>
    <w:rsid w:val="005E6491"/>
    <w:rsid w:val="005F0604"/>
    <w:rsid w:val="005F1D2B"/>
    <w:rsid w:val="005F32BA"/>
    <w:rsid w:val="005F5C39"/>
    <w:rsid w:val="005F6E15"/>
    <w:rsid w:val="006003AE"/>
    <w:rsid w:val="0060339A"/>
    <w:rsid w:val="00606B7E"/>
    <w:rsid w:val="00611CDD"/>
    <w:rsid w:val="00623F37"/>
    <w:rsid w:val="00627E57"/>
    <w:rsid w:val="00630F81"/>
    <w:rsid w:val="0063797C"/>
    <w:rsid w:val="0064186D"/>
    <w:rsid w:val="0064202D"/>
    <w:rsid w:val="0064226E"/>
    <w:rsid w:val="00642900"/>
    <w:rsid w:val="00642D42"/>
    <w:rsid w:val="00646074"/>
    <w:rsid w:val="00647FEE"/>
    <w:rsid w:val="00664F4F"/>
    <w:rsid w:val="00670624"/>
    <w:rsid w:val="00677A45"/>
    <w:rsid w:val="00677EE9"/>
    <w:rsid w:val="00677F3C"/>
    <w:rsid w:val="0068187D"/>
    <w:rsid w:val="006840EE"/>
    <w:rsid w:val="00691A62"/>
    <w:rsid w:val="00692663"/>
    <w:rsid w:val="006971A1"/>
    <w:rsid w:val="006A0466"/>
    <w:rsid w:val="006B1C60"/>
    <w:rsid w:val="006B2983"/>
    <w:rsid w:val="006B634F"/>
    <w:rsid w:val="006B7EB5"/>
    <w:rsid w:val="006D01A9"/>
    <w:rsid w:val="006D0876"/>
    <w:rsid w:val="006D0BBB"/>
    <w:rsid w:val="006D545C"/>
    <w:rsid w:val="006F4B33"/>
    <w:rsid w:val="007028D3"/>
    <w:rsid w:val="00704169"/>
    <w:rsid w:val="00713959"/>
    <w:rsid w:val="00715A61"/>
    <w:rsid w:val="00716554"/>
    <w:rsid w:val="0071711E"/>
    <w:rsid w:val="00722661"/>
    <w:rsid w:val="00722F75"/>
    <w:rsid w:val="00723D7A"/>
    <w:rsid w:val="007279C2"/>
    <w:rsid w:val="00730DE0"/>
    <w:rsid w:val="00734832"/>
    <w:rsid w:val="00735319"/>
    <w:rsid w:val="00737473"/>
    <w:rsid w:val="007479B4"/>
    <w:rsid w:val="00751C4F"/>
    <w:rsid w:val="00760939"/>
    <w:rsid w:val="00760DC9"/>
    <w:rsid w:val="0076496B"/>
    <w:rsid w:val="00765BC6"/>
    <w:rsid w:val="00766B64"/>
    <w:rsid w:val="0077022D"/>
    <w:rsid w:val="007724EA"/>
    <w:rsid w:val="0077659E"/>
    <w:rsid w:val="00783EAB"/>
    <w:rsid w:val="007856BA"/>
    <w:rsid w:val="0078599D"/>
    <w:rsid w:val="0079155B"/>
    <w:rsid w:val="0079297D"/>
    <w:rsid w:val="007947DD"/>
    <w:rsid w:val="0079636C"/>
    <w:rsid w:val="00797C60"/>
    <w:rsid w:val="007A2514"/>
    <w:rsid w:val="007A3876"/>
    <w:rsid w:val="007A543A"/>
    <w:rsid w:val="007B222F"/>
    <w:rsid w:val="007B3673"/>
    <w:rsid w:val="007C121F"/>
    <w:rsid w:val="007C6F26"/>
    <w:rsid w:val="007D2221"/>
    <w:rsid w:val="007D5A36"/>
    <w:rsid w:val="007D6CA3"/>
    <w:rsid w:val="007D74CB"/>
    <w:rsid w:val="007E3689"/>
    <w:rsid w:val="007F1646"/>
    <w:rsid w:val="007F4269"/>
    <w:rsid w:val="007F7941"/>
    <w:rsid w:val="008024E1"/>
    <w:rsid w:val="00804A15"/>
    <w:rsid w:val="00806418"/>
    <w:rsid w:val="00812134"/>
    <w:rsid w:val="00812C04"/>
    <w:rsid w:val="00816F61"/>
    <w:rsid w:val="00821F20"/>
    <w:rsid w:val="008326E1"/>
    <w:rsid w:val="00833821"/>
    <w:rsid w:val="008341DC"/>
    <w:rsid w:val="00840764"/>
    <w:rsid w:val="008444D7"/>
    <w:rsid w:val="00845DB9"/>
    <w:rsid w:val="008463BC"/>
    <w:rsid w:val="00847825"/>
    <w:rsid w:val="00852EFF"/>
    <w:rsid w:val="008578E3"/>
    <w:rsid w:val="00875197"/>
    <w:rsid w:val="0087792D"/>
    <w:rsid w:val="00877BE5"/>
    <w:rsid w:val="00880934"/>
    <w:rsid w:val="00887765"/>
    <w:rsid w:val="00891E78"/>
    <w:rsid w:val="00896652"/>
    <w:rsid w:val="008A4308"/>
    <w:rsid w:val="008A4BA6"/>
    <w:rsid w:val="008B1373"/>
    <w:rsid w:val="008B2676"/>
    <w:rsid w:val="008B2A8F"/>
    <w:rsid w:val="008C1D1D"/>
    <w:rsid w:val="008C54CE"/>
    <w:rsid w:val="008D0133"/>
    <w:rsid w:val="008D3965"/>
    <w:rsid w:val="008D3CC5"/>
    <w:rsid w:val="008D620D"/>
    <w:rsid w:val="008E1BCE"/>
    <w:rsid w:val="008E392F"/>
    <w:rsid w:val="008E4C48"/>
    <w:rsid w:val="008E56F0"/>
    <w:rsid w:val="00900315"/>
    <w:rsid w:val="0092241E"/>
    <w:rsid w:val="009250B4"/>
    <w:rsid w:val="00934042"/>
    <w:rsid w:val="00942BFF"/>
    <w:rsid w:val="009473F3"/>
    <w:rsid w:val="00951ABC"/>
    <w:rsid w:val="009563A8"/>
    <w:rsid w:val="009618EF"/>
    <w:rsid w:val="00977A2B"/>
    <w:rsid w:val="0098125B"/>
    <w:rsid w:val="0098166B"/>
    <w:rsid w:val="009833F9"/>
    <w:rsid w:val="00990C2D"/>
    <w:rsid w:val="00991F37"/>
    <w:rsid w:val="00992599"/>
    <w:rsid w:val="009933A0"/>
    <w:rsid w:val="00993538"/>
    <w:rsid w:val="009961BB"/>
    <w:rsid w:val="009A096B"/>
    <w:rsid w:val="009A3097"/>
    <w:rsid w:val="009A7A6C"/>
    <w:rsid w:val="009B3EA0"/>
    <w:rsid w:val="009C501A"/>
    <w:rsid w:val="009C7414"/>
    <w:rsid w:val="009C7433"/>
    <w:rsid w:val="009C75D7"/>
    <w:rsid w:val="009D2294"/>
    <w:rsid w:val="009D27CF"/>
    <w:rsid w:val="009D6E47"/>
    <w:rsid w:val="009E1B37"/>
    <w:rsid w:val="009E2E7C"/>
    <w:rsid w:val="009E5132"/>
    <w:rsid w:val="009E5BF6"/>
    <w:rsid w:val="009E62BE"/>
    <w:rsid w:val="009F01D3"/>
    <w:rsid w:val="009F0A83"/>
    <w:rsid w:val="00A021C0"/>
    <w:rsid w:val="00A0301E"/>
    <w:rsid w:val="00A129E5"/>
    <w:rsid w:val="00A12BF1"/>
    <w:rsid w:val="00A1568A"/>
    <w:rsid w:val="00A1730E"/>
    <w:rsid w:val="00A2656B"/>
    <w:rsid w:val="00A270A2"/>
    <w:rsid w:val="00A27E4A"/>
    <w:rsid w:val="00A30883"/>
    <w:rsid w:val="00A3249F"/>
    <w:rsid w:val="00A33CBC"/>
    <w:rsid w:val="00A33EB9"/>
    <w:rsid w:val="00A345C6"/>
    <w:rsid w:val="00A34AE0"/>
    <w:rsid w:val="00A410B2"/>
    <w:rsid w:val="00A43296"/>
    <w:rsid w:val="00A43E49"/>
    <w:rsid w:val="00A443DA"/>
    <w:rsid w:val="00A459CE"/>
    <w:rsid w:val="00A460BF"/>
    <w:rsid w:val="00A4758D"/>
    <w:rsid w:val="00A4780E"/>
    <w:rsid w:val="00A52E4D"/>
    <w:rsid w:val="00A56FA1"/>
    <w:rsid w:val="00A57EF4"/>
    <w:rsid w:val="00A6008D"/>
    <w:rsid w:val="00A6182C"/>
    <w:rsid w:val="00A61B5B"/>
    <w:rsid w:val="00A64816"/>
    <w:rsid w:val="00A674D5"/>
    <w:rsid w:val="00A71D1E"/>
    <w:rsid w:val="00A71D6C"/>
    <w:rsid w:val="00A766BD"/>
    <w:rsid w:val="00A819CA"/>
    <w:rsid w:val="00A82E29"/>
    <w:rsid w:val="00A83282"/>
    <w:rsid w:val="00A85867"/>
    <w:rsid w:val="00A87080"/>
    <w:rsid w:val="00A92413"/>
    <w:rsid w:val="00A93029"/>
    <w:rsid w:val="00A936A8"/>
    <w:rsid w:val="00AA3CA2"/>
    <w:rsid w:val="00AA4321"/>
    <w:rsid w:val="00AA6EB4"/>
    <w:rsid w:val="00AB4112"/>
    <w:rsid w:val="00AC085B"/>
    <w:rsid w:val="00AC093E"/>
    <w:rsid w:val="00AC78F0"/>
    <w:rsid w:val="00AD6451"/>
    <w:rsid w:val="00AE245B"/>
    <w:rsid w:val="00AE468A"/>
    <w:rsid w:val="00AE5589"/>
    <w:rsid w:val="00AE55A5"/>
    <w:rsid w:val="00AE5C2A"/>
    <w:rsid w:val="00AE6580"/>
    <w:rsid w:val="00AE6879"/>
    <w:rsid w:val="00AE6D54"/>
    <w:rsid w:val="00AF439E"/>
    <w:rsid w:val="00B002C2"/>
    <w:rsid w:val="00B04B70"/>
    <w:rsid w:val="00B05ACC"/>
    <w:rsid w:val="00B10B01"/>
    <w:rsid w:val="00B223AC"/>
    <w:rsid w:val="00B25601"/>
    <w:rsid w:val="00B31693"/>
    <w:rsid w:val="00B3300A"/>
    <w:rsid w:val="00B44568"/>
    <w:rsid w:val="00B466DA"/>
    <w:rsid w:val="00B52DC5"/>
    <w:rsid w:val="00B54B98"/>
    <w:rsid w:val="00B550AC"/>
    <w:rsid w:val="00B57AC7"/>
    <w:rsid w:val="00B6317E"/>
    <w:rsid w:val="00B6359C"/>
    <w:rsid w:val="00B8172B"/>
    <w:rsid w:val="00B83225"/>
    <w:rsid w:val="00B8500E"/>
    <w:rsid w:val="00B90B74"/>
    <w:rsid w:val="00B9500B"/>
    <w:rsid w:val="00B9785E"/>
    <w:rsid w:val="00BA4AA5"/>
    <w:rsid w:val="00BA7367"/>
    <w:rsid w:val="00BB38FD"/>
    <w:rsid w:val="00BB3D03"/>
    <w:rsid w:val="00BC1B00"/>
    <w:rsid w:val="00BC7E4B"/>
    <w:rsid w:val="00BD19F8"/>
    <w:rsid w:val="00BD1AD3"/>
    <w:rsid w:val="00BD2212"/>
    <w:rsid w:val="00BE009F"/>
    <w:rsid w:val="00BE4DB8"/>
    <w:rsid w:val="00BE6626"/>
    <w:rsid w:val="00BF23B7"/>
    <w:rsid w:val="00BF2EF8"/>
    <w:rsid w:val="00BF62FE"/>
    <w:rsid w:val="00C00D09"/>
    <w:rsid w:val="00C05D8B"/>
    <w:rsid w:val="00C1217A"/>
    <w:rsid w:val="00C132C7"/>
    <w:rsid w:val="00C21969"/>
    <w:rsid w:val="00C25CC7"/>
    <w:rsid w:val="00C302E2"/>
    <w:rsid w:val="00C336F5"/>
    <w:rsid w:val="00C34F79"/>
    <w:rsid w:val="00C40877"/>
    <w:rsid w:val="00C452CD"/>
    <w:rsid w:val="00C4623E"/>
    <w:rsid w:val="00C46BDF"/>
    <w:rsid w:val="00C51788"/>
    <w:rsid w:val="00C522BE"/>
    <w:rsid w:val="00C53862"/>
    <w:rsid w:val="00C630EA"/>
    <w:rsid w:val="00C670A8"/>
    <w:rsid w:val="00C672D4"/>
    <w:rsid w:val="00C71898"/>
    <w:rsid w:val="00C76797"/>
    <w:rsid w:val="00C803C5"/>
    <w:rsid w:val="00C83944"/>
    <w:rsid w:val="00C839F1"/>
    <w:rsid w:val="00C85BD3"/>
    <w:rsid w:val="00C85C6A"/>
    <w:rsid w:val="00C864FE"/>
    <w:rsid w:val="00C90A00"/>
    <w:rsid w:val="00C97C91"/>
    <w:rsid w:val="00CA2D62"/>
    <w:rsid w:val="00CB014D"/>
    <w:rsid w:val="00CB4DD9"/>
    <w:rsid w:val="00CC7086"/>
    <w:rsid w:val="00CD58F2"/>
    <w:rsid w:val="00CD744A"/>
    <w:rsid w:val="00CE3F9A"/>
    <w:rsid w:val="00CF019A"/>
    <w:rsid w:val="00CF05F8"/>
    <w:rsid w:val="00CF2635"/>
    <w:rsid w:val="00CF43F7"/>
    <w:rsid w:val="00D0299D"/>
    <w:rsid w:val="00D040AD"/>
    <w:rsid w:val="00D11BF2"/>
    <w:rsid w:val="00D12CCD"/>
    <w:rsid w:val="00D14B8D"/>
    <w:rsid w:val="00D14F52"/>
    <w:rsid w:val="00D21DCD"/>
    <w:rsid w:val="00D24F8D"/>
    <w:rsid w:val="00D25BBD"/>
    <w:rsid w:val="00D3077F"/>
    <w:rsid w:val="00D32E73"/>
    <w:rsid w:val="00D3327B"/>
    <w:rsid w:val="00D35429"/>
    <w:rsid w:val="00D36ADA"/>
    <w:rsid w:val="00D471BA"/>
    <w:rsid w:val="00D6105A"/>
    <w:rsid w:val="00D74DD0"/>
    <w:rsid w:val="00D832BE"/>
    <w:rsid w:val="00D837DA"/>
    <w:rsid w:val="00D87F99"/>
    <w:rsid w:val="00D9021A"/>
    <w:rsid w:val="00D911F1"/>
    <w:rsid w:val="00D924EC"/>
    <w:rsid w:val="00DA34F2"/>
    <w:rsid w:val="00DA451B"/>
    <w:rsid w:val="00DA57D8"/>
    <w:rsid w:val="00DB53DF"/>
    <w:rsid w:val="00DC02E7"/>
    <w:rsid w:val="00DC0D1E"/>
    <w:rsid w:val="00DC2777"/>
    <w:rsid w:val="00DC379E"/>
    <w:rsid w:val="00DC5F6D"/>
    <w:rsid w:val="00DD50F2"/>
    <w:rsid w:val="00DD5334"/>
    <w:rsid w:val="00DE0EF5"/>
    <w:rsid w:val="00DE719B"/>
    <w:rsid w:val="00DF4BCC"/>
    <w:rsid w:val="00E054D0"/>
    <w:rsid w:val="00E1400C"/>
    <w:rsid w:val="00E20670"/>
    <w:rsid w:val="00E26BE5"/>
    <w:rsid w:val="00E31452"/>
    <w:rsid w:val="00E3317D"/>
    <w:rsid w:val="00E41956"/>
    <w:rsid w:val="00E41BB0"/>
    <w:rsid w:val="00E4612E"/>
    <w:rsid w:val="00E50D77"/>
    <w:rsid w:val="00E514EB"/>
    <w:rsid w:val="00E534E7"/>
    <w:rsid w:val="00E545C9"/>
    <w:rsid w:val="00E574D0"/>
    <w:rsid w:val="00E5769B"/>
    <w:rsid w:val="00E643B7"/>
    <w:rsid w:val="00E66EED"/>
    <w:rsid w:val="00E704DE"/>
    <w:rsid w:val="00E83FB2"/>
    <w:rsid w:val="00E84413"/>
    <w:rsid w:val="00E84852"/>
    <w:rsid w:val="00E84A0A"/>
    <w:rsid w:val="00E91707"/>
    <w:rsid w:val="00EA11DB"/>
    <w:rsid w:val="00EA1B69"/>
    <w:rsid w:val="00EB163D"/>
    <w:rsid w:val="00EB2AE2"/>
    <w:rsid w:val="00EB500F"/>
    <w:rsid w:val="00EB5532"/>
    <w:rsid w:val="00EC0407"/>
    <w:rsid w:val="00EC1B46"/>
    <w:rsid w:val="00EC289B"/>
    <w:rsid w:val="00EC2FED"/>
    <w:rsid w:val="00EC4C1C"/>
    <w:rsid w:val="00ED0CC7"/>
    <w:rsid w:val="00ED711B"/>
    <w:rsid w:val="00EE6A44"/>
    <w:rsid w:val="00EF15D5"/>
    <w:rsid w:val="00EF1BAC"/>
    <w:rsid w:val="00EF73B8"/>
    <w:rsid w:val="00EF7A8E"/>
    <w:rsid w:val="00EF7CE0"/>
    <w:rsid w:val="00F07C62"/>
    <w:rsid w:val="00F10AB3"/>
    <w:rsid w:val="00F178E2"/>
    <w:rsid w:val="00F21FCB"/>
    <w:rsid w:val="00F233A4"/>
    <w:rsid w:val="00F31BAE"/>
    <w:rsid w:val="00F33BFA"/>
    <w:rsid w:val="00F341B7"/>
    <w:rsid w:val="00F34CE6"/>
    <w:rsid w:val="00F36F38"/>
    <w:rsid w:val="00F40A79"/>
    <w:rsid w:val="00F40E6F"/>
    <w:rsid w:val="00F42B72"/>
    <w:rsid w:val="00F518C2"/>
    <w:rsid w:val="00F53F54"/>
    <w:rsid w:val="00F560AB"/>
    <w:rsid w:val="00F5700B"/>
    <w:rsid w:val="00F57984"/>
    <w:rsid w:val="00F6148E"/>
    <w:rsid w:val="00F656F9"/>
    <w:rsid w:val="00F70C13"/>
    <w:rsid w:val="00F711CB"/>
    <w:rsid w:val="00F71DAC"/>
    <w:rsid w:val="00F82A43"/>
    <w:rsid w:val="00F9284D"/>
    <w:rsid w:val="00F93BCA"/>
    <w:rsid w:val="00F95E6A"/>
    <w:rsid w:val="00F97286"/>
    <w:rsid w:val="00FA25E7"/>
    <w:rsid w:val="00FA2A9B"/>
    <w:rsid w:val="00FA3859"/>
    <w:rsid w:val="00FA4DC8"/>
    <w:rsid w:val="00FA5C45"/>
    <w:rsid w:val="00FB23A1"/>
    <w:rsid w:val="00FB3B79"/>
    <w:rsid w:val="00FB3E36"/>
    <w:rsid w:val="00FB53AB"/>
    <w:rsid w:val="00FC2857"/>
    <w:rsid w:val="00FC3BC4"/>
    <w:rsid w:val="00FC5441"/>
    <w:rsid w:val="00FD0EC7"/>
    <w:rsid w:val="00FE0FA4"/>
    <w:rsid w:val="00FF5877"/>
    <w:rsid w:val="00FF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965"/>
    <w:rPr>
      <w:rFonts w:ascii="Tahoma" w:hAnsi="Tahoma" w:cs="Tahoma"/>
      <w:sz w:val="16"/>
      <w:szCs w:val="16"/>
    </w:rPr>
  </w:style>
  <w:style w:type="paragraph" w:styleId="Header">
    <w:name w:val="header"/>
    <w:basedOn w:val="Normal"/>
    <w:link w:val="HeaderChar"/>
    <w:uiPriority w:val="99"/>
    <w:unhideWhenUsed/>
    <w:rsid w:val="00A34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5C6"/>
  </w:style>
  <w:style w:type="paragraph" w:styleId="Footer">
    <w:name w:val="footer"/>
    <w:basedOn w:val="Normal"/>
    <w:link w:val="FooterChar"/>
    <w:uiPriority w:val="99"/>
    <w:unhideWhenUsed/>
    <w:rsid w:val="00A34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5C6"/>
  </w:style>
  <w:style w:type="paragraph" w:styleId="ListParagraph">
    <w:name w:val="List Paragraph"/>
    <w:basedOn w:val="Normal"/>
    <w:uiPriority w:val="34"/>
    <w:qFormat/>
    <w:rsid w:val="00942BFF"/>
    <w:pPr>
      <w:ind w:left="720"/>
      <w:contextualSpacing/>
    </w:pPr>
  </w:style>
  <w:style w:type="table" w:styleId="LightShading">
    <w:name w:val="Light Shading"/>
    <w:basedOn w:val="TableNormal"/>
    <w:uiPriority w:val="60"/>
    <w:rsid w:val="002A2A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2A2AB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965"/>
    <w:rPr>
      <w:rFonts w:ascii="Tahoma" w:hAnsi="Tahoma" w:cs="Tahoma"/>
      <w:sz w:val="16"/>
      <w:szCs w:val="16"/>
    </w:rPr>
  </w:style>
  <w:style w:type="paragraph" w:styleId="Header">
    <w:name w:val="header"/>
    <w:basedOn w:val="Normal"/>
    <w:link w:val="HeaderChar"/>
    <w:uiPriority w:val="99"/>
    <w:unhideWhenUsed/>
    <w:rsid w:val="00A34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5C6"/>
  </w:style>
  <w:style w:type="paragraph" w:styleId="Footer">
    <w:name w:val="footer"/>
    <w:basedOn w:val="Normal"/>
    <w:link w:val="FooterChar"/>
    <w:uiPriority w:val="99"/>
    <w:unhideWhenUsed/>
    <w:rsid w:val="00A34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5C6"/>
  </w:style>
  <w:style w:type="paragraph" w:styleId="ListParagraph">
    <w:name w:val="List Paragraph"/>
    <w:basedOn w:val="Normal"/>
    <w:uiPriority w:val="34"/>
    <w:qFormat/>
    <w:rsid w:val="00942BFF"/>
    <w:pPr>
      <w:ind w:left="720"/>
      <w:contextualSpacing/>
    </w:pPr>
  </w:style>
  <w:style w:type="table" w:styleId="LightShading">
    <w:name w:val="Light Shading"/>
    <w:basedOn w:val="TableNormal"/>
    <w:uiPriority w:val="60"/>
    <w:rsid w:val="002A2A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2A2AB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3601">
      <w:bodyDiv w:val="1"/>
      <w:marLeft w:val="0"/>
      <w:marRight w:val="0"/>
      <w:marTop w:val="0"/>
      <w:marBottom w:val="0"/>
      <w:divBdr>
        <w:top w:val="none" w:sz="0" w:space="0" w:color="auto"/>
        <w:left w:val="none" w:sz="0" w:space="0" w:color="auto"/>
        <w:bottom w:val="none" w:sz="0" w:space="0" w:color="auto"/>
        <w:right w:val="none" w:sz="0" w:space="0" w:color="auto"/>
      </w:divBdr>
    </w:div>
    <w:div w:id="117145118">
      <w:bodyDiv w:val="1"/>
      <w:marLeft w:val="0"/>
      <w:marRight w:val="0"/>
      <w:marTop w:val="0"/>
      <w:marBottom w:val="0"/>
      <w:divBdr>
        <w:top w:val="none" w:sz="0" w:space="0" w:color="auto"/>
        <w:left w:val="none" w:sz="0" w:space="0" w:color="auto"/>
        <w:bottom w:val="none" w:sz="0" w:space="0" w:color="auto"/>
        <w:right w:val="none" w:sz="0" w:space="0" w:color="auto"/>
      </w:divBdr>
    </w:div>
    <w:div w:id="259412052">
      <w:bodyDiv w:val="1"/>
      <w:marLeft w:val="0"/>
      <w:marRight w:val="0"/>
      <w:marTop w:val="0"/>
      <w:marBottom w:val="0"/>
      <w:divBdr>
        <w:top w:val="none" w:sz="0" w:space="0" w:color="auto"/>
        <w:left w:val="none" w:sz="0" w:space="0" w:color="auto"/>
        <w:bottom w:val="none" w:sz="0" w:space="0" w:color="auto"/>
        <w:right w:val="none" w:sz="0" w:space="0" w:color="auto"/>
      </w:divBdr>
    </w:div>
    <w:div w:id="267932138">
      <w:bodyDiv w:val="1"/>
      <w:marLeft w:val="0"/>
      <w:marRight w:val="0"/>
      <w:marTop w:val="0"/>
      <w:marBottom w:val="0"/>
      <w:divBdr>
        <w:top w:val="none" w:sz="0" w:space="0" w:color="auto"/>
        <w:left w:val="none" w:sz="0" w:space="0" w:color="auto"/>
        <w:bottom w:val="none" w:sz="0" w:space="0" w:color="auto"/>
        <w:right w:val="none" w:sz="0" w:space="0" w:color="auto"/>
      </w:divBdr>
    </w:div>
    <w:div w:id="385103401">
      <w:bodyDiv w:val="1"/>
      <w:marLeft w:val="0"/>
      <w:marRight w:val="0"/>
      <w:marTop w:val="0"/>
      <w:marBottom w:val="0"/>
      <w:divBdr>
        <w:top w:val="none" w:sz="0" w:space="0" w:color="auto"/>
        <w:left w:val="none" w:sz="0" w:space="0" w:color="auto"/>
        <w:bottom w:val="none" w:sz="0" w:space="0" w:color="auto"/>
        <w:right w:val="none" w:sz="0" w:space="0" w:color="auto"/>
      </w:divBdr>
    </w:div>
    <w:div w:id="451444103">
      <w:bodyDiv w:val="1"/>
      <w:marLeft w:val="0"/>
      <w:marRight w:val="0"/>
      <w:marTop w:val="0"/>
      <w:marBottom w:val="0"/>
      <w:divBdr>
        <w:top w:val="none" w:sz="0" w:space="0" w:color="auto"/>
        <w:left w:val="none" w:sz="0" w:space="0" w:color="auto"/>
        <w:bottom w:val="none" w:sz="0" w:space="0" w:color="auto"/>
        <w:right w:val="none" w:sz="0" w:space="0" w:color="auto"/>
      </w:divBdr>
    </w:div>
    <w:div w:id="479883564">
      <w:bodyDiv w:val="1"/>
      <w:marLeft w:val="0"/>
      <w:marRight w:val="0"/>
      <w:marTop w:val="0"/>
      <w:marBottom w:val="0"/>
      <w:divBdr>
        <w:top w:val="none" w:sz="0" w:space="0" w:color="auto"/>
        <w:left w:val="none" w:sz="0" w:space="0" w:color="auto"/>
        <w:bottom w:val="none" w:sz="0" w:space="0" w:color="auto"/>
        <w:right w:val="none" w:sz="0" w:space="0" w:color="auto"/>
      </w:divBdr>
    </w:div>
    <w:div w:id="573472484">
      <w:bodyDiv w:val="1"/>
      <w:marLeft w:val="0"/>
      <w:marRight w:val="0"/>
      <w:marTop w:val="0"/>
      <w:marBottom w:val="0"/>
      <w:divBdr>
        <w:top w:val="none" w:sz="0" w:space="0" w:color="auto"/>
        <w:left w:val="none" w:sz="0" w:space="0" w:color="auto"/>
        <w:bottom w:val="none" w:sz="0" w:space="0" w:color="auto"/>
        <w:right w:val="none" w:sz="0" w:space="0" w:color="auto"/>
      </w:divBdr>
    </w:div>
    <w:div w:id="578641923">
      <w:bodyDiv w:val="1"/>
      <w:marLeft w:val="0"/>
      <w:marRight w:val="0"/>
      <w:marTop w:val="0"/>
      <w:marBottom w:val="0"/>
      <w:divBdr>
        <w:top w:val="none" w:sz="0" w:space="0" w:color="auto"/>
        <w:left w:val="none" w:sz="0" w:space="0" w:color="auto"/>
        <w:bottom w:val="none" w:sz="0" w:space="0" w:color="auto"/>
        <w:right w:val="none" w:sz="0" w:space="0" w:color="auto"/>
      </w:divBdr>
    </w:div>
    <w:div w:id="750003701">
      <w:bodyDiv w:val="1"/>
      <w:marLeft w:val="0"/>
      <w:marRight w:val="0"/>
      <w:marTop w:val="0"/>
      <w:marBottom w:val="0"/>
      <w:divBdr>
        <w:top w:val="none" w:sz="0" w:space="0" w:color="auto"/>
        <w:left w:val="none" w:sz="0" w:space="0" w:color="auto"/>
        <w:bottom w:val="none" w:sz="0" w:space="0" w:color="auto"/>
        <w:right w:val="none" w:sz="0" w:space="0" w:color="auto"/>
      </w:divBdr>
    </w:div>
    <w:div w:id="826434658">
      <w:bodyDiv w:val="1"/>
      <w:marLeft w:val="0"/>
      <w:marRight w:val="0"/>
      <w:marTop w:val="0"/>
      <w:marBottom w:val="0"/>
      <w:divBdr>
        <w:top w:val="none" w:sz="0" w:space="0" w:color="auto"/>
        <w:left w:val="none" w:sz="0" w:space="0" w:color="auto"/>
        <w:bottom w:val="none" w:sz="0" w:space="0" w:color="auto"/>
        <w:right w:val="none" w:sz="0" w:space="0" w:color="auto"/>
      </w:divBdr>
    </w:div>
    <w:div w:id="914167090">
      <w:bodyDiv w:val="1"/>
      <w:marLeft w:val="0"/>
      <w:marRight w:val="0"/>
      <w:marTop w:val="0"/>
      <w:marBottom w:val="0"/>
      <w:divBdr>
        <w:top w:val="none" w:sz="0" w:space="0" w:color="auto"/>
        <w:left w:val="none" w:sz="0" w:space="0" w:color="auto"/>
        <w:bottom w:val="none" w:sz="0" w:space="0" w:color="auto"/>
        <w:right w:val="none" w:sz="0" w:space="0" w:color="auto"/>
      </w:divBdr>
    </w:div>
    <w:div w:id="941649083">
      <w:bodyDiv w:val="1"/>
      <w:marLeft w:val="0"/>
      <w:marRight w:val="0"/>
      <w:marTop w:val="0"/>
      <w:marBottom w:val="0"/>
      <w:divBdr>
        <w:top w:val="none" w:sz="0" w:space="0" w:color="auto"/>
        <w:left w:val="none" w:sz="0" w:space="0" w:color="auto"/>
        <w:bottom w:val="none" w:sz="0" w:space="0" w:color="auto"/>
        <w:right w:val="none" w:sz="0" w:space="0" w:color="auto"/>
      </w:divBdr>
    </w:div>
    <w:div w:id="1005984594">
      <w:bodyDiv w:val="1"/>
      <w:marLeft w:val="0"/>
      <w:marRight w:val="0"/>
      <w:marTop w:val="0"/>
      <w:marBottom w:val="0"/>
      <w:divBdr>
        <w:top w:val="none" w:sz="0" w:space="0" w:color="auto"/>
        <w:left w:val="none" w:sz="0" w:space="0" w:color="auto"/>
        <w:bottom w:val="none" w:sz="0" w:space="0" w:color="auto"/>
        <w:right w:val="none" w:sz="0" w:space="0" w:color="auto"/>
      </w:divBdr>
    </w:div>
    <w:div w:id="1136530153">
      <w:bodyDiv w:val="1"/>
      <w:marLeft w:val="0"/>
      <w:marRight w:val="0"/>
      <w:marTop w:val="0"/>
      <w:marBottom w:val="0"/>
      <w:divBdr>
        <w:top w:val="none" w:sz="0" w:space="0" w:color="auto"/>
        <w:left w:val="none" w:sz="0" w:space="0" w:color="auto"/>
        <w:bottom w:val="none" w:sz="0" w:space="0" w:color="auto"/>
        <w:right w:val="none" w:sz="0" w:space="0" w:color="auto"/>
      </w:divBdr>
    </w:div>
    <w:div w:id="1159224353">
      <w:bodyDiv w:val="1"/>
      <w:marLeft w:val="0"/>
      <w:marRight w:val="0"/>
      <w:marTop w:val="0"/>
      <w:marBottom w:val="0"/>
      <w:divBdr>
        <w:top w:val="none" w:sz="0" w:space="0" w:color="auto"/>
        <w:left w:val="none" w:sz="0" w:space="0" w:color="auto"/>
        <w:bottom w:val="none" w:sz="0" w:space="0" w:color="auto"/>
        <w:right w:val="none" w:sz="0" w:space="0" w:color="auto"/>
      </w:divBdr>
    </w:div>
    <w:div w:id="1247299515">
      <w:bodyDiv w:val="1"/>
      <w:marLeft w:val="0"/>
      <w:marRight w:val="0"/>
      <w:marTop w:val="0"/>
      <w:marBottom w:val="0"/>
      <w:divBdr>
        <w:top w:val="none" w:sz="0" w:space="0" w:color="auto"/>
        <w:left w:val="none" w:sz="0" w:space="0" w:color="auto"/>
        <w:bottom w:val="none" w:sz="0" w:space="0" w:color="auto"/>
        <w:right w:val="none" w:sz="0" w:space="0" w:color="auto"/>
      </w:divBdr>
    </w:div>
    <w:div w:id="1272128596">
      <w:bodyDiv w:val="1"/>
      <w:marLeft w:val="0"/>
      <w:marRight w:val="0"/>
      <w:marTop w:val="0"/>
      <w:marBottom w:val="0"/>
      <w:divBdr>
        <w:top w:val="none" w:sz="0" w:space="0" w:color="auto"/>
        <w:left w:val="none" w:sz="0" w:space="0" w:color="auto"/>
        <w:bottom w:val="none" w:sz="0" w:space="0" w:color="auto"/>
        <w:right w:val="none" w:sz="0" w:space="0" w:color="auto"/>
      </w:divBdr>
    </w:div>
    <w:div w:id="1472359566">
      <w:bodyDiv w:val="1"/>
      <w:marLeft w:val="0"/>
      <w:marRight w:val="0"/>
      <w:marTop w:val="0"/>
      <w:marBottom w:val="0"/>
      <w:divBdr>
        <w:top w:val="none" w:sz="0" w:space="0" w:color="auto"/>
        <w:left w:val="none" w:sz="0" w:space="0" w:color="auto"/>
        <w:bottom w:val="none" w:sz="0" w:space="0" w:color="auto"/>
        <w:right w:val="none" w:sz="0" w:space="0" w:color="auto"/>
      </w:divBdr>
    </w:div>
    <w:div w:id="1491210197">
      <w:bodyDiv w:val="1"/>
      <w:marLeft w:val="0"/>
      <w:marRight w:val="0"/>
      <w:marTop w:val="0"/>
      <w:marBottom w:val="0"/>
      <w:divBdr>
        <w:top w:val="none" w:sz="0" w:space="0" w:color="auto"/>
        <w:left w:val="none" w:sz="0" w:space="0" w:color="auto"/>
        <w:bottom w:val="none" w:sz="0" w:space="0" w:color="auto"/>
        <w:right w:val="none" w:sz="0" w:space="0" w:color="auto"/>
      </w:divBdr>
    </w:div>
    <w:div w:id="1507475988">
      <w:bodyDiv w:val="1"/>
      <w:marLeft w:val="0"/>
      <w:marRight w:val="0"/>
      <w:marTop w:val="0"/>
      <w:marBottom w:val="0"/>
      <w:divBdr>
        <w:top w:val="none" w:sz="0" w:space="0" w:color="auto"/>
        <w:left w:val="none" w:sz="0" w:space="0" w:color="auto"/>
        <w:bottom w:val="none" w:sz="0" w:space="0" w:color="auto"/>
        <w:right w:val="none" w:sz="0" w:space="0" w:color="auto"/>
      </w:divBdr>
    </w:div>
    <w:div w:id="1519270016">
      <w:bodyDiv w:val="1"/>
      <w:marLeft w:val="0"/>
      <w:marRight w:val="0"/>
      <w:marTop w:val="0"/>
      <w:marBottom w:val="0"/>
      <w:divBdr>
        <w:top w:val="none" w:sz="0" w:space="0" w:color="auto"/>
        <w:left w:val="none" w:sz="0" w:space="0" w:color="auto"/>
        <w:bottom w:val="none" w:sz="0" w:space="0" w:color="auto"/>
        <w:right w:val="none" w:sz="0" w:space="0" w:color="auto"/>
      </w:divBdr>
      <w:divsChild>
        <w:div w:id="1678118655">
          <w:marLeft w:val="0"/>
          <w:marRight w:val="0"/>
          <w:marTop w:val="0"/>
          <w:marBottom w:val="0"/>
          <w:divBdr>
            <w:top w:val="none" w:sz="0" w:space="0" w:color="auto"/>
            <w:left w:val="none" w:sz="0" w:space="0" w:color="auto"/>
            <w:bottom w:val="none" w:sz="0" w:space="0" w:color="auto"/>
            <w:right w:val="none" w:sz="0" w:space="0" w:color="auto"/>
          </w:divBdr>
          <w:divsChild>
            <w:div w:id="13374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3608">
      <w:bodyDiv w:val="1"/>
      <w:marLeft w:val="0"/>
      <w:marRight w:val="0"/>
      <w:marTop w:val="0"/>
      <w:marBottom w:val="0"/>
      <w:divBdr>
        <w:top w:val="none" w:sz="0" w:space="0" w:color="auto"/>
        <w:left w:val="none" w:sz="0" w:space="0" w:color="auto"/>
        <w:bottom w:val="none" w:sz="0" w:space="0" w:color="auto"/>
        <w:right w:val="none" w:sz="0" w:space="0" w:color="auto"/>
      </w:divBdr>
    </w:div>
    <w:div w:id="1686056594">
      <w:bodyDiv w:val="1"/>
      <w:marLeft w:val="0"/>
      <w:marRight w:val="0"/>
      <w:marTop w:val="0"/>
      <w:marBottom w:val="0"/>
      <w:divBdr>
        <w:top w:val="none" w:sz="0" w:space="0" w:color="auto"/>
        <w:left w:val="none" w:sz="0" w:space="0" w:color="auto"/>
        <w:bottom w:val="none" w:sz="0" w:space="0" w:color="auto"/>
        <w:right w:val="none" w:sz="0" w:space="0" w:color="auto"/>
      </w:divBdr>
    </w:div>
    <w:div w:id="1727415775">
      <w:bodyDiv w:val="1"/>
      <w:marLeft w:val="0"/>
      <w:marRight w:val="0"/>
      <w:marTop w:val="0"/>
      <w:marBottom w:val="0"/>
      <w:divBdr>
        <w:top w:val="none" w:sz="0" w:space="0" w:color="auto"/>
        <w:left w:val="none" w:sz="0" w:space="0" w:color="auto"/>
        <w:bottom w:val="none" w:sz="0" w:space="0" w:color="auto"/>
        <w:right w:val="none" w:sz="0" w:space="0" w:color="auto"/>
      </w:divBdr>
    </w:div>
    <w:div w:id="1770155669">
      <w:bodyDiv w:val="1"/>
      <w:marLeft w:val="0"/>
      <w:marRight w:val="0"/>
      <w:marTop w:val="0"/>
      <w:marBottom w:val="0"/>
      <w:divBdr>
        <w:top w:val="none" w:sz="0" w:space="0" w:color="auto"/>
        <w:left w:val="none" w:sz="0" w:space="0" w:color="auto"/>
        <w:bottom w:val="none" w:sz="0" w:space="0" w:color="auto"/>
        <w:right w:val="none" w:sz="0" w:space="0" w:color="auto"/>
      </w:divBdr>
    </w:div>
    <w:div w:id="1775322828">
      <w:bodyDiv w:val="1"/>
      <w:marLeft w:val="0"/>
      <w:marRight w:val="0"/>
      <w:marTop w:val="0"/>
      <w:marBottom w:val="0"/>
      <w:divBdr>
        <w:top w:val="none" w:sz="0" w:space="0" w:color="auto"/>
        <w:left w:val="none" w:sz="0" w:space="0" w:color="auto"/>
        <w:bottom w:val="none" w:sz="0" w:space="0" w:color="auto"/>
        <w:right w:val="none" w:sz="0" w:space="0" w:color="auto"/>
      </w:divBdr>
    </w:div>
    <w:div w:id="1797526458">
      <w:bodyDiv w:val="1"/>
      <w:marLeft w:val="0"/>
      <w:marRight w:val="0"/>
      <w:marTop w:val="0"/>
      <w:marBottom w:val="0"/>
      <w:divBdr>
        <w:top w:val="none" w:sz="0" w:space="0" w:color="auto"/>
        <w:left w:val="none" w:sz="0" w:space="0" w:color="auto"/>
        <w:bottom w:val="none" w:sz="0" w:space="0" w:color="auto"/>
        <w:right w:val="none" w:sz="0" w:space="0" w:color="auto"/>
      </w:divBdr>
    </w:div>
    <w:div w:id="1838881518">
      <w:bodyDiv w:val="1"/>
      <w:marLeft w:val="0"/>
      <w:marRight w:val="0"/>
      <w:marTop w:val="0"/>
      <w:marBottom w:val="0"/>
      <w:divBdr>
        <w:top w:val="none" w:sz="0" w:space="0" w:color="auto"/>
        <w:left w:val="none" w:sz="0" w:space="0" w:color="auto"/>
        <w:bottom w:val="none" w:sz="0" w:space="0" w:color="auto"/>
        <w:right w:val="none" w:sz="0" w:space="0" w:color="auto"/>
      </w:divBdr>
    </w:div>
    <w:div w:id="1951355896">
      <w:bodyDiv w:val="1"/>
      <w:marLeft w:val="0"/>
      <w:marRight w:val="0"/>
      <w:marTop w:val="0"/>
      <w:marBottom w:val="0"/>
      <w:divBdr>
        <w:top w:val="none" w:sz="0" w:space="0" w:color="auto"/>
        <w:left w:val="none" w:sz="0" w:space="0" w:color="auto"/>
        <w:bottom w:val="none" w:sz="0" w:space="0" w:color="auto"/>
        <w:right w:val="none" w:sz="0" w:space="0" w:color="auto"/>
      </w:divBdr>
    </w:div>
    <w:div w:id="19899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7" Type="http://schemas.openxmlformats.org/officeDocument/2006/relationships/footnotes" Target="footnotes.xml"/><Relationship Id="rId12" Type="http://schemas.openxmlformats.org/officeDocument/2006/relationships/hyperlink" Target="http://www.bea.gov/regional/definitions/nextpage.cfm?key=per%20capita%20personal%20income"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a.gov/regional/definitions/nextpage.cfm?key=population"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fontTable" Target="fontTable.xml"/><Relationship Id="rId10" Type="http://schemas.openxmlformats.org/officeDocument/2006/relationships/hyperlink" Target="http://www.bea.gov/regional/definitions/nextpage.cfm?key=metropolitan%20areas" TargetMode="External"/><Relationship Id="rId19" Type="http://schemas.openxmlformats.org/officeDocument/2006/relationships/chart" Target="charts/chart7.xml"/><Relationship Id="rId31" Type="http://schemas.openxmlformats.org/officeDocument/2006/relationships/chart" Target="charts/chart1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m_kelly\Documents\2016%20Forecast\2000-15%20quarterly%20labor%20force%20and%20employmen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tom_kelly\AppData\Local\Microsoft\Windows\Temporary%20Internet%20Files\Content.IE5\N46GMQ19\DA20151243.csv"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tom_kelly\Documents\2016%20Forecast\Education%20employment%20and%20wages.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tom_kelly\AppData\Local\Microsoft\Windows\Temporary%20Internet%20Files\Content.IE5\JJC34DSS\data.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tom_kelly\AppData\Local\Microsoft\Windows\Temporary%20Internet%20Files\Content.IE5\XW6DQWAD\DA20151348.csv"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tom_kelly\AppData\Local\Microsoft\Windows\Temporary%20Internet%20Files\Content.IE5\XW6DQWAD\DA20151348.csv"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tom_kelly\AppData\Local\Microsoft\Windows\Temporary%20Internet%20Files\Content.IE5\XW6DQWAD\SeriesReport-20150813151952_c2f11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tom_kelly\Documents\2016%20Forecast\USA%20v%20Waco%20MSA%20Real%20GDP.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m_kelly\AppData\Local\Microsoft\Windows\Temporary%20Internet%20Files\Content.IE5\5OK0EHAD\SeriesReport-20150812122815_13c28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om_kelly\AppData\Local\Microsoft\Windows\Temporary%20Internet%20Files\Content.IE5\JO8RKCWA\DA20151436.csv"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om_kelly\AppData\Local\Microsoft\Windows\Temporary%20Internet%20Files\Content.IE5\YTLUQ2ER\SeriesReport-20150812154926_50fcc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om_kelly\AppData\Local\Microsoft\Windows\Temporary%20Internet%20Files\Content.IE5\JO8RKCWA\DA2015132.csv"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om_kelly\AppData\Local\Microsoft\Windows\Temporary%20Internet%20Files\Content.IE5\6ET7T906\DA20151244.csv"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om_kelly\Documents\2016%20Forecast\USA%20v%20Waco%20MSA%20Real%20GDP.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tom_kelly\AppData\Local\Microsoft\Windows\Temporary%20Internet%20Files\Content.IE5\YTLUQ2ER\SeriesReport-20150701144017_64a6b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50" b="0"/>
            </a:pPr>
            <a:r>
              <a:rPr lang="en-US" sz="1050" b="0"/>
              <a:t>Figure 1 </a:t>
            </a:r>
          </a:p>
          <a:p>
            <a:pPr>
              <a:defRPr sz="1050" b="0"/>
            </a:pPr>
            <a:r>
              <a:rPr lang="en-US" sz="1050" b="0"/>
              <a:t>Waco MSA Quarterly Index of Seasonally-adjusted Household Employment Relative to its 15-year Trend</a:t>
            </a:r>
          </a:p>
          <a:p>
            <a:pPr>
              <a:defRPr sz="1050" b="0"/>
            </a:pPr>
            <a:r>
              <a:rPr lang="en-US" sz="1050" b="0"/>
              <a:t>2000.1 - 2015.1</a:t>
            </a:r>
          </a:p>
        </c:rich>
      </c:tx>
      <c:layout>
        <c:manualLayout>
          <c:xMode val="edge"/>
          <c:yMode val="edge"/>
          <c:x val="0.13838563184075425"/>
          <c:y val="3.5938046205762741E-2"/>
        </c:manualLayout>
      </c:layout>
      <c:overlay val="0"/>
    </c:title>
    <c:autoTitleDeleted val="0"/>
    <c:plotArea>
      <c:layout>
        <c:manualLayout>
          <c:layoutTarget val="inner"/>
          <c:xMode val="edge"/>
          <c:yMode val="edge"/>
          <c:x val="0.13463790006974233"/>
          <c:y val="0.27883495900997818"/>
          <c:w val="0.83684893046905717"/>
          <c:h val="0.46397838505480932"/>
        </c:manualLayout>
      </c:layout>
      <c:lineChart>
        <c:grouping val="standard"/>
        <c:varyColors val="0"/>
        <c:ser>
          <c:idx val="0"/>
          <c:order val="0"/>
          <c:tx>
            <c:v>Employment </c:v>
          </c:tx>
          <c:spPr>
            <a:ln>
              <a:solidFill>
                <a:srgbClr val="00B050"/>
              </a:solidFill>
            </a:ln>
          </c:spPr>
          <c:marker>
            <c:spPr>
              <a:solidFill>
                <a:srgbClr val="00B050"/>
              </a:solidFill>
              <a:ln>
                <a:solidFill>
                  <a:srgbClr val="00B050"/>
                </a:solidFill>
              </a:ln>
            </c:spPr>
          </c:marker>
          <c:cat>
            <c:numRef>
              <c:f>Sheet1!$W$100:$W$160</c:f>
              <c:numCache>
                <c:formatCode>General</c:formatCode>
                <c:ptCount val="61"/>
                <c:pt idx="0" formatCode="0.0">
                  <c:v>2000.1</c:v>
                </c:pt>
                <c:pt idx="4" formatCode="0.0">
                  <c:v>2001.1</c:v>
                </c:pt>
                <c:pt idx="8" formatCode="0.0">
                  <c:v>2002.1</c:v>
                </c:pt>
                <c:pt idx="12" formatCode="0.0">
                  <c:v>2003.1</c:v>
                </c:pt>
                <c:pt idx="16" formatCode="0.0">
                  <c:v>2004.1</c:v>
                </c:pt>
                <c:pt idx="20" formatCode="0.0">
                  <c:v>2005.1</c:v>
                </c:pt>
                <c:pt idx="24" formatCode="0.0">
                  <c:v>2006.1</c:v>
                </c:pt>
                <c:pt idx="28" formatCode="0.0">
                  <c:v>2007.1</c:v>
                </c:pt>
                <c:pt idx="32" formatCode="0.0">
                  <c:v>2008.1</c:v>
                </c:pt>
                <c:pt idx="36" formatCode="0.0">
                  <c:v>2009.1</c:v>
                </c:pt>
                <c:pt idx="40" formatCode="0.0">
                  <c:v>2010.1</c:v>
                </c:pt>
                <c:pt idx="44" formatCode="0.0">
                  <c:v>2011.1</c:v>
                </c:pt>
                <c:pt idx="48" formatCode="0.0">
                  <c:v>2012.1</c:v>
                </c:pt>
                <c:pt idx="52" formatCode="0.0">
                  <c:v>2013.1</c:v>
                </c:pt>
                <c:pt idx="56" formatCode="0.0">
                  <c:v>2014.1</c:v>
                </c:pt>
                <c:pt idx="60" formatCode="0.0">
                  <c:v>2015.1</c:v>
                </c:pt>
              </c:numCache>
            </c:numRef>
          </c:cat>
          <c:val>
            <c:numRef>
              <c:f>Sheet1!$Y$100:$Y$160</c:f>
              <c:numCache>
                <c:formatCode>General</c:formatCode>
                <c:ptCount val="61"/>
                <c:pt idx="0">
                  <c:v>99.999963968937678</c:v>
                </c:pt>
                <c:pt idx="1">
                  <c:v>98.836220144841221</c:v>
                </c:pt>
                <c:pt idx="2">
                  <c:v>97.478198186285027</c:v>
                </c:pt>
                <c:pt idx="3">
                  <c:v>98.67216628729804</c:v>
                </c:pt>
                <c:pt idx="4">
                  <c:v>99.023786053917604</c:v>
                </c:pt>
                <c:pt idx="5">
                  <c:v>97.850935220859995</c:v>
                </c:pt>
                <c:pt idx="6">
                  <c:v>97.383936886003468</c:v>
                </c:pt>
                <c:pt idx="7">
                  <c:v>98.473947569350827</c:v>
                </c:pt>
                <c:pt idx="8">
                  <c:v>98.909106126938184</c:v>
                </c:pt>
                <c:pt idx="9">
                  <c:v>99.540657155401647</c:v>
                </c:pt>
                <c:pt idx="10">
                  <c:v>100.11843872456413</c:v>
                </c:pt>
                <c:pt idx="11">
                  <c:v>100.33294274187455</c:v>
                </c:pt>
                <c:pt idx="12">
                  <c:v>101.49173537680026</c:v>
                </c:pt>
                <c:pt idx="13">
                  <c:v>100.65756057346127</c:v>
                </c:pt>
                <c:pt idx="14">
                  <c:v>102.24116624168946</c:v>
                </c:pt>
                <c:pt idx="15">
                  <c:v>102.63654064624252</c:v>
                </c:pt>
                <c:pt idx="16">
                  <c:v>103.3247494942114</c:v>
                </c:pt>
                <c:pt idx="17">
                  <c:v>102.71896572015389</c:v>
                </c:pt>
                <c:pt idx="18">
                  <c:v>103.28173706636647</c:v>
                </c:pt>
                <c:pt idx="19">
                  <c:v>103.21915547609673</c:v>
                </c:pt>
                <c:pt idx="20">
                  <c:v>105.19878732533876</c:v>
                </c:pt>
                <c:pt idx="21">
                  <c:v>105.00931289527864</c:v>
                </c:pt>
                <c:pt idx="22">
                  <c:v>104.56073353293219</c:v>
                </c:pt>
                <c:pt idx="23">
                  <c:v>105.15502987100186</c:v>
                </c:pt>
                <c:pt idx="24">
                  <c:v>104.74193233168084</c:v>
                </c:pt>
                <c:pt idx="25">
                  <c:v>104.42351790754944</c:v>
                </c:pt>
                <c:pt idx="26">
                  <c:v>104.75849743744452</c:v>
                </c:pt>
                <c:pt idx="27">
                  <c:v>105.07444562585509</c:v>
                </c:pt>
                <c:pt idx="28">
                  <c:v>104.8650034728295</c:v>
                </c:pt>
                <c:pt idx="29">
                  <c:v>104.20662545956111</c:v>
                </c:pt>
                <c:pt idx="30">
                  <c:v>103.60241031340281</c:v>
                </c:pt>
                <c:pt idx="31">
                  <c:v>103.17284269152962</c:v>
                </c:pt>
                <c:pt idx="32">
                  <c:v>102.98910092744231</c:v>
                </c:pt>
                <c:pt idx="33">
                  <c:v>103.70888509815197</c:v>
                </c:pt>
                <c:pt idx="34">
                  <c:v>104.26686006734846</c:v>
                </c:pt>
                <c:pt idx="35">
                  <c:v>104.28527577683157</c:v>
                </c:pt>
                <c:pt idx="36">
                  <c:v>102.99096564170215</c:v>
                </c:pt>
                <c:pt idx="37">
                  <c:v>104.03422377013446</c:v>
                </c:pt>
                <c:pt idx="38">
                  <c:v>104.93500634287375</c:v>
                </c:pt>
                <c:pt idx="39">
                  <c:v>104.18338765078393</c:v>
                </c:pt>
                <c:pt idx="40">
                  <c:v>101.91689022804108</c:v>
                </c:pt>
                <c:pt idx="41">
                  <c:v>103.74781451189345</c:v>
                </c:pt>
                <c:pt idx="42">
                  <c:v>103.95357986347145</c:v>
                </c:pt>
                <c:pt idx="43">
                  <c:v>102.9505413256075</c:v>
                </c:pt>
                <c:pt idx="44">
                  <c:v>103.36484085079771</c:v>
                </c:pt>
                <c:pt idx="45">
                  <c:v>103.61341534540496</c:v>
                </c:pt>
                <c:pt idx="46">
                  <c:v>103.23183402504094</c:v>
                </c:pt>
                <c:pt idx="47">
                  <c:v>103.25713195944175</c:v>
                </c:pt>
                <c:pt idx="48">
                  <c:v>103.28931992327466</c:v>
                </c:pt>
                <c:pt idx="49">
                  <c:v>102.98034892670393</c:v>
                </c:pt>
                <c:pt idx="50">
                  <c:v>103.27064750162747</c:v>
                </c:pt>
                <c:pt idx="51">
                  <c:v>103.71748103803881</c:v>
                </c:pt>
                <c:pt idx="52">
                  <c:v>103.52986806279249</c:v>
                </c:pt>
                <c:pt idx="53">
                  <c:v>104.53752547636383</c:v>
                </c:pt>
                <c:pt idx="54">
                  <c:v>104.12916463850576</c:v>
                </c:pt>
                <c:pt idx="55">
                  <c:v>103.40348035867382</c:v>
                </c:pt>
                <c:pt idx="56">
                  <c:v>104.62352297618175</c:v>
                </c:pt>
                <c:pt idx="57">
                  <c:v>105.12146668248629</c:v>
                </c:pt>
                <c:pt idx="58">
                  <c:v>105.28340350175763</c:v>
                </c:pt>
                <c:pt idx="59">
                  <c:v>105.2087527010997</c:v>
                </c:pt>
                <c:pt idx="60">
                  <c:v>105.97357610029738</c:v>
                </c:pt>
              </c:numCache>
            </c:numRef>
          </c:val>
          <c:smooth val="0"/>
        </c:ser>
        <c:ser>
          <c:idx val="1"/>
          <c:order val="1"/>
          <c:tx>
            <c:v>Trend </c:v>
          </c:tx>
          <c:spPr>
            <a:ln w="9525">
              <a:solidFill>
                <a:srgbClr val="C00000"/>
              </a:solidFill>
              <a:prstDash val="solid"/>
            </a:ln>
          </c:spPr>
          <c:marker>
            <c:spPr>
              <a:solidFill>
                <a:srgbClr val="C00000"/>
              </a:solidFill>
              <a:ln w="9525">
                <a:solidFill>
                  <a:srgbClr val="C00000"/>
                </a:solidFill>
                <a:prstDash val="solid"/>
              </a:ln>
            </c:spPr>
          </c:marker>
          <c:cat>
            <c:numRef>
              <c:f>Sheet1!$W$100:$W$160</c:f>
              <c:numCache>
                <c:formatCode>General</c:formatCode>
                <c:ptCount val="61"/>
                <c:pt idx="0" formatCode="0.0">
                  <c:v>2000.1</c:v>
                </c:pt>
                <c:pt idx="4" formatCode="0.0">
                  <c:v>2001.1</c:v>
                </c:pt>
                <c:pt idx="8" formatCode="0.0">
                  <c:v>2002.1</c:v>
                </c:pt>
                <c:pt idx="12" formatCode="0.0">
                  <c:v>2003.1</c:v>
                </c:pt>
                <c:pt idx="16" formatCode="0.0">
                  <c:v>2004.1</c:v>
                </c:pt>
                <c:pt idx="20" formatCode="0.0">
                  <c:v>2005.1</c:v>
                </c:pt>
                <c:pt idx="24" formatCode="0.0">
                  <c:v>2006.1</c:v>
                </c:pt>
                <c:pt idx="28" formatCode="0.0">
                  <c:v>2007.1</c:v>
                </c:pt>
                <c:pt idx="32" formatCode="0.0">
                  <c:v>2008.1</c:v>
                </c:pt>
                <c:pt idx="36" formatCode="0.0">
                  <c:v>2009.1</c:v>
                </c:pt>
                <c:pt idx="40" formatCode="0.0">
                  <c:v>2010.1</c:v>
                </c:pt>
                <c:pt idx="44" formatCode="0.0">
                  <c:v>2011.1</c:v>
                </c:pt>
                <c:pt idx="48" formatCode="0.0">
                  <c:v>2012.1</c:v>
                </c:pt>
                <c:pt idx="52" formatCode="0.0">
                  <c:v>2013.1</c:v>
                </c:pt>
                <c:pt idx="56" formatCode="0.0">
                  <c:v>2014.1</c:v>
                </c:pt>
                <c:pt idx="60" formatCode="0.0">
                  <c:v>2015.1</c:v>
                </c:pt>
              </c:numCache>
            </c:numRef>
          </c:cat>
          <c:val>
            <c:numRef>
              <c:f>Sheet1!$Z$100:$Z$160</c:f>
              <c:numCache>
                <c:formatCode>General</c:formatCode>
                <c:ptCount val="61"/>
                <c:pt idx="0">
                  <c:v>99.999963021413166</c:v>
                </c:pt>
                <c:pt idx="1">
                  <c:v>100.0899415229199</c:v>
                </c:pt>
                <c:pt idx="2">
                  <c:v>100.17992002442664</c:v>
                </c:pt>
                <c:pt idx="3">
                  <c:v>100.26989852593337</c:v>
                </c:pt>
                <c:pt idx="4">
                  <c:v>100.35987702744011</c:v>
                </c:pt>
                <c:pt idx="5">
                  <c:v>100.44985552894684</c:v>
                </c:pt>
                <c:pt idx="6">
                  <c:v>100.53983403045358</c:v>
                </c:pt>
                <c:pt idx="7">
                  <c:v>100.62981253196031</c:v>
                </c:pt>
                <c:pt idx="8">
                  <c:v>100.71979103346705</c:v>
                </c:pt>
                <c:pt idx="9">
                  <c:v>100.80976953497377</c:v>
                </c:pt>
                <c:pt idx="10">
                  <c:v>100.8997480364805</c:v>
                </c:pt>
                <c:pt idx="11">
                  <c:v>100.98972653798724</c:v>
                </c:pt>
                <c:pt idx="12">
                  <c:v>101.07970503949399</c:v>
                </c:pt>
                <c:pt idx="13">
                  <c:v>101.16968354100072</c:v>
                </c:pt>
                <c:pt idx="14">
                  <c:v>101.25966204250744</c:v>
                </c:pt>
                <c:pt idx="15">
                  <c:v>101.34964054401418</c:v>
                </c:pt>
                <c:pt idx="16">
                  <c:v>101.43961904552091</c:v>
                </c:pt>
                <c:pt idx="17">
                  <c:v>101.52959754702765</c:v>
                </c:pt>
                <c:pt idx="18">
                  <c:v>101.61957604853438</c:v>
                </c:pt>
                <c:pt idx="19">
                  <c:v>101.70955455004112</c:v>
                </c:pt>
                <c:pt idx="20">
                  <c:v>101.79953305154785</c:v>
                </c:pt>
                <c:pt idx="21">
                  <c:v>101.88951155305459</c:v>
                </c:pt>
                <c:pt idx="22">
                  <c:v>101.97949005456132</c:v>
                </c:pt>
                <c:pt idx="23">
                  <c:v>102.06946855606806</c:v>
                </c:pt>
                <c:pt idx="24">
                  <c:v>102.15944705757479</c:v>
                </c:pt>
                <c:pt idx="25">
                  <c:v>102.24942555908152</c:v>
                </c:pt>
                <c:pt idx="26">
                  <c:v>102.33940406058825</c:v>
                </c:pt>
                <c:pt idx="27">
                  <c:v>102.42938256209499</c:v>
                </c:pt>
                <c:pt idx="28">
                  <c:v>102.51936106360174</c:v>
                </c:pt>
                <c:pt idx="29">
                  <c:v>102.60933956510847</c:v>
                </c:pt>
                <c:pt idx="30">
                  <c:v>102.69931806661519</c:v>
                </c:pt>
                <c:pt idx="31">
                  <c:v>102.78929656812193</c:v>
                </c:pt>
                <c:pt idx="32">
                  <c:v>102.87927506962866</c:v>
                </c:pt>
                <c:pt idx="33">
                  <c:v>102.9692535711354</c:v>
                </c:pt>
                <c:pt idx="34">
                  <c:v>103.05923207264213</c:v>
                </c:pt>
                <c:pt idx="35">
                  <c:v>103.14921057414885</c:v>
                </c:pt>
                <c:pt idx="36">
                  <c:v>103.2391890756556</c:v>
                </c:pt>
                <c:pt idx="37">
                  <c:v>103.32916757716234</c:v>
                </c:pt>
                <c:pt idx="38">
                  <c:v>103.41914607866907</c:v>
                </c:pt>
                <c:pt idx="39">
                  <c:v>103.50912458017581</c:v>
                </c:pt>
                <c:pt idx="40">
                  <c:v>103.59910308168253</c:v>
                </c:pt>
                <c:pt idx="41">
                  <c:v>103.68908158318926</c:v>
                </c:pt>
                <c:pt idx="42">
                  <c:v>103.779060084696</c:v>
                </c:pt>
                <c:pt idx="43">
                  <c:v>103.86903858620273</c:v>
                </c:pt>
                <c:pt idx="44">
                  <c:v>103.95901708770948</c:v>
                </c:pt>
                <c:pt idx="45">
                  <c:v>104.0489955892162</c:v>
                </c:pt>
                <c:pt idx="46">
                  <c:v>104.13897409072294</c:v>
                </c:pt>
                <c:pt idx="47">
                  <c:v>104.22895259222967</c:v>
                </c:pt>
                <c:pt idx="48">
                  <c:v>104.31893109373641</c:v>
                </c:pt>
                <c:pt idx="49">
                  <c:v>104.40890959524314</c:v>
                </c:pt>
                <c:pt idx="50">
                  <c:v>104.49888809674987</c:v>
                </c:pt>
                <c:pt idx="51">
                  <c:v>104.5888665982566</c:v>
                </c:pt>
                <c:pt idx="52">
                  <c:v>104.67884509976335</c:v>
                </c:pt>
                <c:pt idx="53">
                  <c:v>104.76882360127009</c:v>
                </c:pt>
                <c:pt idx="54">
                  <c:v>104.85880210277682</c:v>
                </c:pt>
                <c:pt idx="55">
                  <c:v>104.94878060428354</c:v>
                </c:pt>
                <c:pt idx="56">
                  <c:v>105.03875910579028</c:v>
                </c:pt>
                <c:pt idx="57">
                  <c:v>105.12873760729701</c:v>
                </c:pt>
                <c:pt idx="58">
                  <c:v>105.21871610880375</c:v>
                </c:pt>
                <c:pt idx="59">
                  <c:v>105.30869461031048</c:v>
                </c:pt>
                <c:pt idx="60">
                  <c:v>105.39867311181722</c:v>
                </c:pt>
              </c:numCache>
            </c:numRef>
          </c:val>
          <c:smooth val="0"/>
        </c:ser>
        <c:dLbls>
          <c:showLegendKey val="0"/>
          <c:showVal val="0"/>
          <c:showCatName val="0"/>
          <c:showSerName val="0"/>
          <c:showPercent val="0"/>
          <c:showBubbleSize val="0"/>
        </c:dLbls>
        <c:marker val="1"/>
        <c:smooth val="0"/>
        <c:axId val="37888384"/>
        <c:axId val="37889920"/>
      </c:lineChart>
      <c:catAx>
        <c:axId val="37888384"/>
        <c:scaling>
          <c:orientation val="minMax"/>
        </c:scaling>
        <c:delete val="0"/>
        <c:axPos val="b"/>
        <c:numFmt formatCode="0.0" sourceLinked="1"/>
        <c:majorTickMark val="out"/>
        <c:minorTickMark val="none"/>
        <c:tickLblPos val="nextTo"/>
        <c:txPr>
          <a:bodyPr/>
          <a:lstStyle/>
          <a:p>
            <a:pPr>
              <a:defRPr sz="1000"/>
            </a:pPr>
            <a:endParaRPr lang="en-US"/>
          </a:p>
        </c:txPr>
        <c:crossAx val="37889920"/>
        <c:crosses val="autoZero"/>
        <c:auto val="1"/>
        <c:lblAlgn val="ctr"/>
        <c:lblOffset val="100"/>
        <c:noMultiLvlLbl val="0"/>
      </c:catAx>
      <c:valAx>
        <c:axId val="37889920"/>
        <c:scaling>
          <c:orientation val="minMax"/>
        </c:scaling>
        <c:delete val="0"/>
        <c:axPos val="l"/>
        <c:majorGridlines/>
        <c:title>
          <c:tx>
            <c:rich>
              <a:bodyPr rot="-5400000" vert="horz"/>
              <a:lstStyle/>
              <a:p>
                <a:pPr>
                  <a:defRPr sz="1000" b="0"/>
                </a:pPr>
                <a:r>
                  <a:rPr lang="en-US" sz="1000" b="0"/>
                  <a:t>1st Quarter 2000 = 100</a:t>
                </a:r>
              </a:p>
              <a:p>
                <a:pPr>
                  <a:defRPr sz="1000" b="0"/>
                </a:pPr>
                <a:endParaRPr lang="en-US" sz="1000" b="0"/>
              </a:p>
            </c:rich>
          </c:tx>
          <c:layout>
            <c:manualLayout>
              <c:xMode val="edge"/>
              <c:yMode val="edge"/>
              <c:x val="8.3927313963803301E-3"/>
              <c:y val="0.3650326625838437"/>
            </c:manualLayout>
          </c:layout>
          <c:overlay val="0"/>
        </c:title>
        <c:numFmt formatCode="General" sourceLinked="1"/>
        <c:majorTickMark val="out"/>
        <c:minorTickMark val="none"/>
        <c:tickLblPos val="nextTo"/>
        <c:crossAx val="37888384"/>
        <c:crosses val="autoZero"/>
        <c:crossBetween val="between"/>
      </c:valAx>
      <c:spPr>
        <a:solidFill>
          <a:schemeClr val="bg1">
            <a:lumMod val="95000"/>
          </a:schemeClr>
        </a:solidFill>
      </c:spPr>
    </c:plotArea>
    <c:legend>
      <c:legendPos val="b"/>
      <c:layout>
        <c:manualLayout>
          <c:xMode val="edge"/>
          <c:yMode val="edge"/>
          <c:x val="0.33309321642630491"/>
          <c:y val="0.91586570909405551"/>
          <c:w val="0.42267680631240867"/>
          <c:h val="8.390383773791725E-2"/>
        </c:manualLayout>
      </c:layout>
      <c:overlay val="0"/>
      <c:spPr>
        <a:ln>
          <a:prstDash val="sysDash"/>
        </a:ln>
      </c:spPr>
    </c:legend>
    <c:plotVisOnly val="1"/>
    <c:dispBlanksAs val="gap"/>
    <c:showDLblsOverMax val="0"/>
  </c:chart>
  <c:spPr>
    <a:ln w="6350"/>
  </c:spPr>
  <c:txPr>
    <a:bodyPr/>
    <a:lstStyle/>
    <a:p>
      <a:pPr>
        <a:defRPr sz="1100">
          <a:latin typeface="Tahoma" pitchFamily="34" charset="0"/>
          <a:ea typeface="Tahoma" pitchFamily="34" charset="0"/>
          <a:cs typeface="Tahoma"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en-US" sz="1100" b="0"/>
              <a:t>Figure 10</a:t>
            </a:r>
          </a:p>
          <a:p>
            <a:pPr>
              <a:defRPr sz="1100" b="0"/>
            </a:pPr>
            <a:r>
              <a:rPr lang="en-US" sz="1100" b="0"/>
              <a:t>Waco vs. Statewide Annual Percent Change in Employment in </a:t>
            </a:r>
          </a:p>
          <a:p>
            <a:pPr>
              <a:defRPr sz="1100" b="0"/>
            </a:pPr>
            <a:r>
              <a:rPr lang="en-US" sz="1100" b="0"/>
              <a:t> Business and Professional  Services  </a:t>
            </a:r>
          </a:p>
        </c:rich>
      </c:tx>
      <c:overlay val="0"/>
    </c:title>
    <c:autoTitleDeleted val="0"/>
    <c:plotArea>
      <c:layout/>
      <c:lineChart>
        <c:grouping val="standard"/>
        <c:varyColors val="0"/>
        <c:ser>
          <c:idx val="0"/>
          <c:order val="0"/>
          <c:tx>
            <c:strRef>
              <c:f>Sheet1!$B$12</c:f>
              <c:strCache>
                <c:ptCount val="1"/>
                <c:pt idx="0">
                  <c:v>Waco MSA</c:v>
                </c:pt>
              </c:strCache>
            </c:strRef>
          </c:tx>
          <c:spPr>
            <a:ln w="38100">
              <a:solidFill>
                <a:srgbClr val="00B050"/>
              </a:solidFill>
              <a:prstDash val="solid"/>
            </a:ln>
          </c:spPr>
          <c:marker>
            <c:symbol val="none"/>
          </c:marker>
          <c:cat>
            <c:strRef>
              <c:f>Sheet1!$A$13:$A$40</c:f>
              <c:strCache>
                <c:ptCount val="28"/>
                <c:pt idx="0">
                  <c:v>Jan '13</c:v>
                </c:pt>
                <c:pt idx="3">
                  <c:v>Apr</c:v>
                </c:pt>
                <c:pt idx="6">
                  <c:v>Jul</c:v>
                </c:pt>
                <c:pt idx="9">
                  <c:v>Oct</c:v>
                </c:pt>
                <c:pt idx="12">
                  <c:v>Jan '14</c:v>
                </c:pt>
                <c:pt idx="15">
                  <c:v>Apr</c:v>
                </c:pt>
                <c:pt idx="18">
                  <c:v>Jul</c:v>
                </c:pt>
                <c:pt idx="21">
                  <c:v>Oct</c:v>
                </c:pt>
                <c:pt idx="24">
                  <c:v>Jan '15</c:v>
                </c:pt>
                <c:pt idx="27">
                  <c:v>Apr</c:v>
                </c:pt>
              </c:strCache>
            </c:strRef>
          </c:cat>
          <c:val>
            <c:numRef>
              <c:f>Sheet1!$B$13:$B$41</c:f>
              <c:numCache>
                <c:formatCode>#0.0</c:formatCode>
                <c:ptCount val="29"/>
                <c:pt idx="0">
                  <c:v>9.3000000000000007</c:v>
                </c:pt>
                <c:pt idx="1">
                  <c:v>9.5</c:v>
                </c:pt>
                <c:pt idx="2">
                  <c:v>9.6</c:v>
                </c:pt>
                <c:pt idx="3">
                  <c:v>10</c:v>
                </c:pt>
                <c:pt idx="4">
                  <c:v>10.1</c:v>
                </c:pt>
                <c:pt idx="5">
                  <c:v>10.1</c:v>
                </c:pt>
                <c:pt idx="6">
                  <c:v>10.1</c:v>
                </c:pt>
                <c:pt idx="7">
                  <c:v>10.199999999999999</c:v>
                </c:pt>
                <c:pt idx="8">
                  <c:v>10.199999999999999</c:v>
                </c:pt>
                <c:pt idx="9">
                  <c:v>9.6</c:v>
                </c:pt>
                <c:pt idx="10">
                  <c:v>10.1</c:v>
                </c:pt>
                <c:pt idx="11">
                  <c:v>10.1</c:v>
                </c:pt>
                <c:pt idx="12">
                  <c:v>9.9</c:v>
                </c:pt>
                <c:pt idx="13">
                  <c:v>10.1</c:v>
                </c:pt>
                <c:pt idx="14">
                  <c:v>10.199999999999999</c:v>
                </c:pt>
                <c:pt idx="15">
                  <c:v>10.5</c:v>
                </c:pt>
                <c:pt idx="16">
                  <c:v>10.7</c:v>
                </c:pt>
                <c:pt idx="17">
                  <c:v>10.9</c:v>
                </c:pt>
                <c:pt idx="18">
                  <c:v>11.1</c:v>
                </c:pt>
                <c:pt idx="19">
                  <c:v>11.2</c:v>
                </c:pt>
                <c:pt idx="20">
                  <c:v>11.3</c:v>
                </c:pt>
                <c:pt idx="21">
                  <c:v>11.1</c:v>
                </c:pt>
                <c:pt idx="22">
                  <c:v>11.1</c:v>
                </c:pt>
                <c:pt idx="23">
                  <c:v>11.2</c:v>
                </c:pt>
                <c:pt idx="24">
                  <c:v>11.6</c:v>
                </c:pt>
                <c:pt idx="25">
                  <c:v>11.6</c:v>
                </c:pt>
                <c:pt idx="26">
                  <c:v>11.5</c:v>
                </c:pt>
                <c:pt idx="27">
                  <c:v>11.6</c:v>
                </c:pt>
                <c:pt idx="28">
                  <c:v>11.7</c:v>
                </c:pt>
              </c:numCache>
            </c:numRef>
          </c:val>
          <c:smooth val="0"/>
        </c:ser>
        <c:ser>
          <c:idx val="1"/>
          <c:order val="1"/>
          <c:tx>
            <c:strRef>
              <c:f>Sheet1!$C$12</c:f>
              <c:strCache>
                <c:ptCount val="1"/>
                <c:pt idx="0">
                  <c:v>State of Texas</c:v>
                </c:pt>
              </c:strCache>
            </c:strRef>
          </c:tx>
          <c:spPr>
            <a:ln w="38100">
              <a:solidFill>
                <a:srgbClr val="0070C0"/>
              </a:solidFill>
              <a:prstDash val="solid"/>
            </a:ln>
          </c:spPr>
          <c:marker>
            <c:symbol val="none"/>
          </c:marker>
          <c:cat>
            <c:strRef>
              <c:f>Sheet1!$A$13:$A$40</c:f>
              <c:strCache>
                <c:ptCount val="28"/>
                <c:pt idx="0">
                  <c:v>Jan '13</c:v>
                </c:pt>
                <c:pt idx="3">
                  <c:v>Apr</c:v>
                </c:pt>
                <c:pt idx="6">
                  <c:v>Jul</c:v>
                </c:pt>
                <c:pt idx="9">
                  <c:v>Oct</c:v>
                </c:pt>
                <c:pt idx="12">
                  <c:v>Jan '14</c:v>
                </c:pt>
                <c:pt idx="15">
                  <c:v>Apr</c:v>
                </c:pt>
                <c:pt idx="18">
                  <c:v>Jul</c:v>
                </c:pt>
                <c:pt idx="21">
                  <c:v>Oct</c:v>
                </c:pt>
                <c:pt idx="24">
                  <c:v>Jan '15</c:v>
                </c:pt>
                <c:pt idx="27">
                  <c:v>Apr</c:v>
                </c:pt>
              </c:strCache>
            </c:strRef>
          </c:cat>
          <c:val>
            <c:numRef>
              <c:f>Sheet1!$C$13:$C$41</c:f>
              <c:numCache>
                <c:formatCode>#0.0</c:formatCode>
                <c:ptCount val="29"/>
                <c:pt idx="0">
                  <c:v>4.5999999999999996</c:v>
                </c:pt>
                <c:pt idx="1">
                  <c:v>4.9000000000000004</c:v>
                </c:pt>
                <c:pt idx="2">
                  <c:v>4.5999999999999996</c:v>
                </c:pt>
                <c:pt idx="3">
                  <c:v>4</c:v>
                </c:pt>
                <c:pt idx="4">
                  <c:v>3.6</c:v>
                </c:pt>
                <c:pt idx="5">
                  <c:v>4.0999999999999996</c:v>
                </c:pt>
                <c:pt idx="6">
                  <c:v>4.2</c:v>
                </c:pt>
                <c:pt idx="7">
                  <c:v>3.8</c:v>
                </c:pt>
                <c:pt idx="8">
                  <c:v>4</c:v>
                </c:pt>
                <c:pt idx="9">
                  <c:v>4.2</c:v>
                </c:pt>
                <c:pt idx="10">
                  <c:v>4.0999999999999996</c:v>
                </c:pt>
                <c:pt idx="11">
                  <c:v>4.2</c:v>
                </c:pt>
                <c:pt idx="12">
                  <c:v>4.3</c:v>
                </c:pt>
                <c:pt idx="13">
                  <c:v>4.0999999999999996</c:v>
                </c:pt>
                <c:pt idx="14">
                  <c:v>4.0999999999999996</c:v>
                </c:pt>
                <c:pt idx="15">
                  <c:v>5</c:v>
                </c:pt>
                <c:pt idx="16">
                  <c:v>5.2</c:v>
                </c:pt>
                <c:pt idx="17">
                  <c:v>4.8</c:v>
                </c:pt>
                <c:pt idx="18">
                  <c:v>4.8</c:v>
                </c:pt>
                <c:pt idx="19">
                  <c:v>4.8</c:v>
                </c:pt>
                <c:pt idx="20">
                  <c:v>4.4000000000000004</c:v>
                </c:pt>
                <c:pt idx="21">
                  <c:v>3.6</c:v>
                </c:pt>
                <c:pt idx="22">
                  <c:v>4.2</c:v>
                </c:pt>
                <c:pt idx="23">
                  <c:v>4.7</c:v>
                </c:pt>
                <c:pt idx="24">
                  <c:v>4.8</c:v>
                </c:pt>
                <c:pt idx="25">
                  <c:v>4.2</c:v>
                </c:pt>
                <c:pt idx="26">
                  <c:v>3.3</c:v>
                </c:pt>
                <c:pt idx="27">
                  <c:v>2.6</c:v>
                </c:pt>
                <c:pt idx="28">
                  <c:v>2.8</c:v>
                </c:pt>
              </c:numCache>
            </c:numRef>
          </c:val>
          <c:smooth val="0"/>
        </c:ser>
        <c:dLbls>
          <c:showLegendKey val="0"/>
          <c:showVal val="0"/>
          <c:showCatName val="0"/>
          <c:showSerName val="0"/>
          <c:showPercent val="0"/>
          <c:showBubbleSize val="0"/>
        </c:dLbls>
        <c:marker val="1"/>
        <c:smooth val="0"/>
        <c:axId val="40208256"/>
        <c:axId val="40209792"/>
      </c:lineChart>
      <c:catAx>
        <c:axId val="40208256"/>
        <c:scaling>
          <c:orientation val="minMax"/>
        </c:scaling>
        <c:delete val="0"/>
        <c:axPos val="b"/>
        <c:majorTickMark val="out"/>
        <c:minorTickMark val="none"/>
        <c:tickLblPos val="nextTo"/>
        <c:crossAx val="40209792"/>
        <c:crosses val="autoZero"/>
        <c:auto val="1"/>
        <c:lblAlgn val="ctr"/>
        <c:lblOffset val="100"/>
        <c:noMultiLvlLbl val="0"/>
      </c:catAx>
      <c:valAx>
        <c:axId val="40209792"/>
        <c:scaling>
          <c:orientation val="minMax"/>
        </c:scaling>
        <c:delete val="0"/>
        <c:axPos val="l"/>
        <c:majorGridlines/>
        <c:numFmt formatCode="#0.0" sourceLinked="1"/>
        <c:majorTickMark val="out"/>
        <c:minorTickMark val="none"/>
        <c:tickLblPos val="nextTo"/>
        <c:crossAx val="40208256"/>
        <c:crosses val="autoZero"/>
        <c:crossBetween val="between"/>
      </c:valAx>
      <c:spPr>
        <a:solidFill>
          <a:schemeClr val="bg1">
            <a:lumMod val="95000"/>
          </a:schemeClr>
        </a:solidFill>
      </c:spPr>
    </c:plotArea>
    <c:legend>
      <c:legendPos val="b"/>
      <c:overlay val="0"/>
    </c:legend>
    <c:plotVisOnly val="1"/>
    <c:dispBlanksAs val="gap"/>
    <c:showDLblsOverMax val="0"/>
  </c:chart>
  <c:txPr>
    <a:bodyPr/>
    <a:lstStyle/>
    <a:p>
      <a:pPr>
        <a:defRPr>
          <a:latin typeface="Tahoma" pitchFamily="34" charset="0"/>
          <a:ea typeface="Tahoma" pitchFamily="34" charset="0"/>
          <a:cs typeface="Tahoma"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a:pPr>
            <a:r>
              <a:rPr lang="en-US" sz="1050" b="0"/>
              <a:t>Figure 11</a:t>
            </a:r>
          </a:p>
          <a:p>
            <a:pPr>
              <a:defRPr sz="1050" b="0"/>
            </a:pPr>
            <a:r>
              <a:rPr lang="en-US" sz="1050" b="0"/>
              <a:t>Annual Percent Change in </a:t>
            </a:r>
            <a:r>
              <a:rPr lang="en-US" sz="1050" b="0" i="0" u="none" strike="noStrike" baseline="0">
                <a:effectLst/>
              </a:rPr>
              <a:t>Quarterly </a:t>
            </a:r>
            <a:r>
              <a:rPr lang="en-US" sz="1050" b="0"/>
              <a:t>Healthcare and Social Services Employment in the Waco MSA and State of Texas </a:t>
            </a:r>
          </a:p>
        </c:rich>
      </c:tx>
      <c:overlay val="0"/>
    </c:title>
    <c:autoTitleDeleted val="0"/>
    <c:plotArea>
      <c:layout>
        <c:manualLayout>
          <c:layoutTarget val="inner"/>
          <c:xMode val="edge"/>
          <c:yMode val="edge"/>
          <c:x val="8.794855643044619E-2"/>
          <c:y val="0.29742933454375048"/>
          <c:w val="0.88760699912510932"/>
          <c:h val="0.58364423822522582"/>
        </c:manualLayout>
      </c:layout>
      <c:lineChart>
        <c:grouping val="standard"/>
        <c:varyColors val="0"/>
        <c:ser>
          <c:idx val="0"/>
          <c:order val="0"/>
          <c:tx>
            <c:strRef>
              <c:f>DA20151243!$M$6</c:f>
              <c:strCache>
                <c:ptCount val="1"/>
                <c:pt idx="0">
                  <c:v>Waco</c:v>
                </c:pt>
              </c:strCache>
            </c:strRef>
          </c:tx>
          <c:spPr>
            <a:ln w="38100">
              <a:solidFill>
                <a:srgbClr val="00B050"/>
              </a:solidFill>
            </a:ln>
          </c:spPr>
          <c:marker>
            <c:symbol val="none"/>
          </c:marker>
          <c:cat>
            <c:numRef>
              <c:f>DA20151243!$A$7:$A$22</c:f>
              <c:numCache>
                <c:formatCode>General</c:formatCode>
                <c:ptCount val="16"/>
                <c:pt idx="0">
                  <c:v>2011</c:v>
                </c:pt>
                <c:pt idx="4">
                  <c:v>2012</c:v>
                </c:pt>
                <c:pt idx="8">
                  <c:v>2013</c:v>
                </c:pt>
                <c:pt idx="12">
                  <c:v>2014</c:v>
                </c:pt>
              </c:numCache>
            </c:numRef>
          </c:cat>
          <c:val>
            <c:numRef>
              <c:f>DA20151243!$M$7:$M$22</c:f>
              <c:numCache>
                <c:formatCode>0.00</c:formatCode>
                <c:ptCount val="16"/>
                <c:pt idx="0">
                  <c:v>-1.2944983818770184</c:v>
                </c:pt>
                <c:pt idx="1">
                  <c:v>-2.6839426191577975</c:v>
                </c:pt>
                <c:pt idx="2">
                  <c:v>-2.7043110288283545</c:v>
                </c:pt>
                <c:pt idx="3">
                  <c:v>-0.86495909883330668</c:v>
                </c:pt>
                <c:pt idx="4">
                  <c:v>-0.73770491803278881</c:v>
                </c:pt>
                <c:pt idx="5">
                  <c:v>-0.72685279532640479</c:v>
                </c:pt>
                <c:pt idx="6">
                  <c:v>0.55725450220862616</c:v>
                </c:pt>
                <c:pt idx="7">
                  <c:v>-8.1163341224210761E-2</c:v>
                </c:pt>
                <c:pt idx="8">
                  <c:v>0.73630608312689194</c:v>
                </c:pt>
                <c:pt idx="9">
                  <c:v>0.19159709867251351</c:v>
                </c:pt>
                <c:pt idx="10">
                  <c:v>-1.5611272555247635</c:v>
                </c:pt>
                <c:pt idx="11">
                  <c:v>-2.010424422933732</c:v>
                </c:pt>
                <c:pt idx="12">
                  <c:v>-2.8417241614864364</c:v>
                </c:pt>
                <c:pt idx="13">
                  <c:v>-1.3864226198606722</c:v>
                </c:pt>
                <c:pt idx="14">
                  <c:v>0.1441713579568793</c:v>
                </c:pt>
                <c:pt idx="15">
                  <c:v>0.54573086487981204</c:v>
                </c:pt>
              </c:numCache>
            </c:numRef>
          </c:val>
          <c:smooth val="0"/>
        </c:ser>
        <c:ser>
          <c:idx val="1"/>
          <c:order val="1"/>
          <c:tx>
            <c:strRef>
              <c:f>DA20151243!$N$6</c:f>
              <c:strCache>
                <c:ptCount val="1"/>
                <c:pt idx="0">
                  <c:v>Texas</c:v>
                </c:pt>
              </c:strCache>
            </c:strRef>
          </c:tx>
          <c:spPr>
            <a:ln w="38100">
              <a:solidFill>
                <a:schemeClr val="tx2"/>
              </a:solidFill>
              <a:prstDash val="solid"/>
            </a:ln>
          </c:spPr>
          <c:marker>
            <c:symbol val="none"/>
          </c:marker>
          <c:cat>
            <c:numRef>
              <c:f>DA20151243!$A$7:$A$22</c:f>
              <c:numCache>
                <c:formatCode>General</c:formatCode>
                <c:ptCount val="16"/>
                <c:pt idx="0">
                  <c:v>2011</c:v>
                </c:pt>
                <c:pt idx="4">
                  <c:v>2012</c:v>
                </c:pt>
                <c:pt idx="8">
                  <c:v>2013</c:v>
                </c:pt>
                <c:pt idx="12">
                  <c:v>2014</c:v>
                </c:pt>
              </c:numCache>
            </c:numRef>
          </c:cat>
          <c:val>
            <c:numRef>
              <c:f>DA20151243!$N$7:$N$22</c:f>
              <c:numCache>
                <c:formatCode>0.00</c:formatCode>
                <c:ptCount val="16"/>
                <c:pt idx="0">
                  <c:v>2.8372579706473999</c:v>
                </c:pt>
                <c:pt idx="1">
                  <c:v>2.5425357962764794</c:v>
                </c:pt>
                <c:pt idx="2">
                  <c:v>2.8065509311874681</c:v>
                </c:pt>
                <c:pt idx="3">
                  <c:v>2.4936346578802171</c:v>
                </c:pt>
                <c:pt idx="4">
                  <c:v>2.2404788993408253</c:v>
                </c:pt>
                <c:pt idx="5">
                  <c:v>1.9636172017730935</c:v>
                </c:pt>
                <c:pt idx="6">
                  <c:v>1.9129637047278214</c:v>
                </c:pt>
                <c:pt idx="7">
                  <c:v>2.2459733573809482</c:v>
                </c:pt>
                <c:pt idx="8">
                  <c:v>3.0852712177822816</c:v>
                </c:pt>
                <c:pt idx="9">
                  <c:v>2.9702696179347843</c:v>
                </c:pt>
                <c:pt idx="10">
                  <c:v>2.9735377957531117</c:v>
                </c:pt>
                <c:pt idx="11">
                  <c:v>2.8811460110456322</c:v>
                </c:pt>
                <c:pt idx="12">
                  <c:v>2.0960951394602967</c:v>
                </c:pt>
                <c:pt idx="13">
                  <c:v>2.3797294865705032</c:v>
                </c:pt>
                <c:pt idx="14">
                  <c:v>2.4790364030236489</c:v>
                </c:pt>
                <c:pt idx="15">
                  <c:v>3.1172603181803593</c:v>
                </c:pt>
              </c:numCache>
            </c:numRef>
          </c:val>
          <c:smooth val="0"/>
        </c:ser>
        <c:dLbls>
          <c:showLegendKey val="0"/>
          <c:showVal val="0"/>
          <c:showCatName val="0"/>
          <c:showSerName val="0"/>
          <c:showPercent val="0"/>
          <c:showBubbleSize val="0"/>
        </c:dLbls>
        <c:marker val="1"/>
        <c:smooth val="0"/>
        <c:axId val="40226176"/>
        <c:axId val="40375424"/>
      </c:lineChart>
      <c:catAx>
        <c:axId val="40226176"/>
        <c:scaling>
          <c:orientation val="minMax"/>
        </c:scaling>
        <c:delete val="0"/>
        <c:axPos val="b"/>
        <c:numFmt formatCode="General" sourceLinked="1"/>
        <c:majorTickMark val="out"/>
        <c:minorTickMark val="none"/>
        <c:tickLblPos val="nextTo"/>
        <c:crossAx val="40375424"/>
        <c:crosses val="autoZero"/>
        <c:auto val="1"/>
        <c:lblAlgn val="ctr"/>
        <c:lblOffset val="100"/>
        <c:noMultiLvlLbl val="0"/>
      </c:catAx>
      <c:valAx>
        <c:axId val="40375424"/>
        <c:scaling>
          <c:orientation val="minMax"/>
        </c:scaling>
        <c:delete val="0"/>
        <c:axPos val="l"/>
        <c:majorGridlines/>
        <c:numFmt formatCode="0.00" sourceLinked="1"/>
        <c:majorTickMark val="out"/>
        <c:minorTickMark val="none"/>
        <c:tickLblPos val="nextTo"/>
        <c:crossAx val="40226176"/>
        <c:crosses val="autoZero"/>
        <c:crossBetween val="between"/>
      </c:valAx>
      <c:spPr>
        <a:solidFill>
          <a:schemeClr val="bg1">
            <a:lumMod val="95000"/>
          </a:schemeClr>
        </a:solidFill>
      </c:spPr>
    </c:plotArea>
    <c:legend>
      <c:legendPos val="t"/>
      <c:layout>
        <c:manualLayout>
          <c:xMode val="edge"/>
          <c:yMode val="edge"/>
          <c:x val="0.37371609658422394"/>
          <c:y val="0.90758539021006213"/>
          <c:w val="0.27544041994750657"/>
          <c:h val="9.2047332467279974E-2"/>
        </c:manualLayout>
      </c:layout>
      <c:overlay val="0"/>
    </c:legend>
    <c:plotVisOnly val="1"/>
    <c:dispBlanksAs val="gap"/>
    <c:showDLblsOverMax val="0"/>
  </c:chart>
  <c:txPr>
    <a:bodyPr/>
    <a:lstStyle/>
    <a:p>
      <a:pPr>
        <a:defRPr sz="1100">
          <a:latin typeface="Tahoma" pitchFamily="34" charset="0"/>
          <a:ea typeface="Tahoma" pitchFamily="34" charset="0"/>
          <a:cs typeface="Tahoma"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a:pPr>
            <a:r>
              <a:rPr lang="en-US" sz="1050" b="0"/>
              <a:t>Figure 12</a:t>
            </a:r>
          </a:p>
          <a:p>
            <a:pPr>
              <a:defRPr sz="1050" b="0"/>
            </a:pPr>
            <a:r>
              <a:rPr lang="en-US" sz="1050" b="0"/>
              <a:t>Annual Percent Change in Waco MSA Quarterly Gross Sales in Healthcare and Social Services, </a:t>
            </a:r>
          </a:p>
          <a:p>
            <a:pPr>
              <a:defRPr sz="1050" b="0"/>
            </a:pPr>
            <a:r>
              <a:rPr lang="en-US" sz="1050" b="0"/>
              <a:t>1st Qtr. 2011 - 4th Qtr 2014</a:t>
            </a:r>
          </a:p>
        </c:rich>
      </c:tx>
      <c:overlay val="0"/>
    </c:title>
    <c:autoTitleDeleted val="0"/>
    <c:plotArea>
      <c:layout>
        <c:manualLayout>
          <c:layoutTarget val="inner"/>
          <c:xMode val="edge"/>
          <c:yMode val="edge"/>
          <c:x val="7.5047082386837938E-2"/>
          <c:y val="0.31430132054206461"/>
          <c:w val="0.89979308423357329"/>
          <c:h val="0.62896151933417987"/>
        </c:manualLayout>
      </c:layout>
      <c:lineChart>
        <c:grouping val="standard"/>
        <c:varyColors val="0"/>
        <c:ser>
          <c:idx val="0"/>
          <c:order val="0"/>
          <c:spPr>
            <a:ln w="38100">
              <a:solidFill>
                <a:srgbClr val="00B050"/>
              </a:solidFill>
            </a:ln>
          </c:spPr>
          <c:marker>
            <c:symbol val="none"/>
          </c:marker>
          <c:cat>
            <c:numRef>
              <c:f>Sheet1!$B$54:$B$69</c:f>
              <c:numCache>
                <c:formatCode>General</c:formatCode>
                <c:ptCount val="16"/>
                <c:pt idx="0">
                  <c:v>2011</c:v>
                </c:pt>
                <c:pt idx="4">
                  <c:v>2012</c:v>
                </c:pt>
                <c:pt idx="8">
                  <c:v>2013</c:v>
                </c:pt>
                <c:pt idx="12">
                  <c:v>2014</c:v>
                </c:pt>
              </c:numCache>
            </c:numRef>
          </c:cat>
          <c:val>
            <c:numRef>
              <c:f>Sheet1!$G$54:$G$69</c:f>
              <c:numCache>
                <c:formatCode>General</c:formatCode>
                <c:ptCount val="16"/>
                <c:pt idx="0">
                  <c:v>4.7963646708719221</c:v>
                </c:pt>
                <c:pt idx="1">
                  <c:v>4.6560225312234804</c:v>
                </c:pt>
                <c:pt idx="2">
                  <c:v>7.8796251827237818</c:v>
                </c:pt>
                <c:pt idx="3">
                  <c:v>0.28966853817751215</c:v>
                </c:pt>
                <c:pt idx="4">
                  <c:v>12.345498177592562</c:v>
                </c:pt>
                <c:pt idx="5">
                  <c:v>-9.4456341507622721</c:v>
                </c:pt>
                <c:pt idx="6">
                  <c:v>-6.1233398738385176</c:v>
                </c:pt>
                <c:pt idx="7">
                  <c:v>-32.39431473305163</c:v>
                </c:pt>
                <c:pt idx="8">
                  <c:v>-14.927019750409066</c:v>
                </c:pt>
                <c:pt idx="9">
                  <c:v>10.708527160516713</c:v>
                </c:pt>
                <c:pt idx="10">
                  <c:v>24.180349295997839</c:v>
                </c:pt>
                <c:pt idx="11">
                  <c:v>14.8784324132764</c:v>
                </c:pt>
                <c:pt idx="12">
                  <c:v>32.407134714466082</c:v>
                </c:pt>
                <c:pt idx="13">
                  <c:v>10.512178789654314</c:v>
                </c:pt>
                <c:pt idx="14">
                  <c:v>-0.98577699072238678</c:v>
                </c:pt>
                <c:pt idx="15">
                  <c:v>4.8536644837234411</c:v>
                </c:pt>
              </c:numCache>
            </c:numRef>
          </c:val>
          <c:smooth val="0"/>
        </c:ser>
        <c:dLbls>
          <c:showLegendKey val="0"/>
          <c:showVal val="0"/>
          <c:showCatName val="0"/>
          <c:showSerName val="0"/>
          <c:showPercent val="0"/>
          <c:showBubbleSize val="0"/>
        </c:dLbls>
        <c:marker val="1"/>
        <c:smooth val="0"/>
        <c:axId val="40391808"/>
        <c:axId val="40393344"/>
      </c:lineChart>
      <c:catAx>
        <c:axId val="40391808"/>
        <c:scaling>
          <c:orientation val="minMax"/>
        </c:scaling>
        <c:delete val="0"/>
        <c:axPos val="b"/>
        <c:numFmt formatCode="General" sourceLinked="1"/>
        <c:majorTickMark val="out"/>
        <c:minorTickMark val="none"/>
        <c:tickLblPos val="nextTo"/>
        <c:crossAx val="40393344"/>
        <c:crosses val="autoZero"/>
        <c:auto val="1"/>
        <c:lblAlgn val="ctr"/>
        <c:lblOffset val="100"/>
        <c:noMultiLvlLbl val="0"/>
      </c:catAx>
      <c:valAx>
        <c:axId val="40393344"/>
        <c:scaling>
          <c:orientation val="minMax"/>
        </c:scaling>
        <c:delete val="0"/>
        <c:axPos val="l"/>
        <c:majorGridlines/>
        <c:numFmt formatCode="General" sourceLinked="1"/>
        <c:majorTickMark val="out"/>
        <c:minorTickMark val="none"/>
        <c:tickLblPos val="nextTo"/>
        <c:crossAx val="40391808"/>
        <c:crosses val="autoZero"/>
        <c:crossBetween val="between"/>
      </c:valAx>
      <c:spPr>
        <a:solidFill>
          <a:schemeClr val="bg1">
            <a:lumMod val="95000"/>
          </a:schemeClr>
        </a:solidFill>
      </c:spPr>
    </c:plotArea>
    <c:plotVisOnly val="1"/>
    <c:dispBlanksAs val="gap"/>
    <c:showDLblsOverMax val="0"/>
  </c:chart>
  <c:txPr>
    <a:bodyPr/>
    <a:lstStyle/>
    <a:p>
      <a:pPr>
        <a:defRPr sz="1100">
          <a:latin typeface="Tahoma" pitchFamily="34" charset="0"/>
          <a:ea typeface="Tahoma" pitchFamily="34" charset="0"/>
          <a:cs typeface="Tahoma"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en-US" sz="1100" b="0"/>
              <a:t>Figure 13</a:t>
            </a:r>
          </a:p>
          <a:p>
            <a:pPr>
              <a:defRPr sz="1100" b="0"/>
            </a:pPr>
            <a:r>
              <a:rPr lang="en-US" sz="1100" b="0"/>
              <a:t>Quarterly  Index of Waco MSA Educational Services </a:t>
            </a:r>
          </a:p>
          <a:p>
            <a:pPr>
              <a:defRPr sz="1100" b="0"/>
            </a:pPr>
            <a:r>
              <a:rPr lang="en-US" sz="1100" b="0"/>
              <a:t>Employment and Wages</a:t>
            </a:r>
          </a:p>
          <a:p>
            <a:pPr>
              <a:defRPr sz="1100" b="0"/>
            </a:pPr>
            <a:r>
              <a:rPr lang="en-US" sz="900" b="0"/>
              <a:t>1st Qtr. 2010 = 100</a:t>
            </a:r>
          </a:p>
        </c:rich>
      </c:tx>
      <c:overlay val="0"/>
    </c:title>
    <c:autoTitleDeleted val="0"/>
    <c:plotArea>
      <c:layout>
        <c:manualLayout>
          <c:layoutTarget val="inner"/>
          <c:xMode val="edge"/>
          <c:yMode val="edge"/>
          <c:x val="7.8737357830271221E-2"/>
          <c:y val="0.31924156032220108"/>
          <c:w val="0.90092913385826767"/>
          <c:h val="0.4700159538881169"/>
        </c:manualLayout>
      </c:layout>
      <c:lineChart>
        <c:grouping val="standard"/>
        <c:varyColors val="0"/>
        <c:ser>
          <c:idx val="0"/>
          <c:order val="0"/>
          <c:tx>
            <c:strRef>
              <c:f>DA20151232!$L$1</c:f>
              <c:strCache>
                <c:ptCount val="1"/>
                <c:pt idx="0">
                  <c:v>Employment</c:v>
                </c:pt>
              </c:strCache>
            </c:strRef>
          </c:tx>
          <c:spPr>
            <a:ln w="38100">
              <a:solidFill>
                <a:srgbClr val="00B050"/>
              </a:solidFill>
            </a:ln>
          </c:spPr>
          <c:marker>
            <c:symbol val="none"/>
          </c:marker>
          <c:cat>
            <c:numRef>
              <c:f>DA20151232!$A$2:$A$21</c:f>
              <c:numCache>
                <c:formatCode>General</c:formatCode>
                <c:ptCount val="20"/>
                <c:pt idx="0">
                  <c:v>2010</c:v>
                </c:pt>
                <c:pt idx="4">
                  <c:v>2011</c:v>
                </c:pt>
                <c:pt idx="8">
                  <c:v>2012</c:v>
                </c:pt>
                <c:pt idx="12">
                  <c:v>2013</c:v>
                </c:pt>
                <c:pt idx="16">
                  <c:v>2014</c:v>
                </c:pt>
              </c:numCache>
            </c:numRef>
          </c:cat>
          <c:val>
            <c:numRef>
              <c:f>DA20151232!$L$2:$L$21</c:f>
              <c:numCache>
                <c:formatCode>General</c:formatCode>
                <c:ptCount val="20"/>
                <c:pt idx="0">
                  <c:v>100</c:v>
                </c:pt>
                <c:pt idx="1">
                  <c:v>100.44710518338891</c:v>
                </c:pt>
                <c:pt idx="2">
                  <c:v>101.53076689906032</c:v>
                </c:pt>
                <c:pt idx="3">
                  <c:v>102.03091846013943</c:v>
                </c:pt>
                <c:pt idx="4">
                  <c:v>100.09851470142468</c:v>
                </c:pt>
                <c:pt idx="5">
                  <c:v>100.80327371930889</c:v>
                </c:pt>
                <c:pt idx="6">
                  <c:v>99.651409518035777</c:v>
                </c:pt>
                <c:pt idx="7">
                  <c:v>100.81842982722038</c:v>
                </c:pt>
                <c:pt idx="8">
                  <c:v>99.204304334646864</c:v>
                </c:pt>
                <c:pt idx="9">
                  <c:v>98.878448014549875</c:v>
                </c:pt>
                <c:pt idx="10">
                  <c:v>98.347984237647765</c:v>
                </c:pt>
                <c:pt idx="11">
                  <c:v>99.264928766292812</c:v>
                </c:pt>
                <c:pt idx="12">
                  <c:v>98.681418611700508</c:v>
                </c:pt>
                <c:pt idx="13">
                  <c:v>99.712033949681725</c:v>
                </c:pt>
                <c:pt idx="14">
                  <c:v>100.62897847832677</c:v>
                </c:pt>
                <c:pt idx="15">
                  <c:v>99.401333737496216</c:v>
                </c:pt>
                <c:pt idx="16">
                  <c:v>99.515004546832373</c:v>
                </c:pt>
                <c:pt idx="17">
                  <c:v>101.84146711124585</c:v>
                </c:pt>
                <c:pt idx="18">
                  <c:v>97.453773870869966</c:v>
                </c:pt>
                <c:pt idx="19">
                  <c:v>101.93240375871476</c:v>
                </c:pt>
              </c:numCache>
            </c:numRef>
          </c:val>
          <c:smooth val="0"/>
        </c:ser>
        <c:ser>
          <c:idx val="1"/>
          <c:order val="1"/>
          <c:tx>
            <c:strRef>
              <c:f>DA20151232!$M$1</c:f>
              <c:strCache>
                <c:ptCount val="1"/>
                <c:pt idx="0">
                  <c:v>Wages</c:v>
                </c:pt>
              </c:strCache>
            </c:strRef>
          </c:tx>
          <c:spPr>
            <a:ln w="38100">
              <a:solidFill>
                <a:srgbClr val="C00000"/>
              </a:solidFill>
              <a:prstDash val="solid"/>
            </a:ln>
          </c:spPr>
          <c:marker>
            <c:symbol val="none"/>
          </c:marker>
          <c:cat>
            <c:numRef>
              <c:f>DA20151232!$A$2:$A$21</c:f>
              <c:numCache>
                <c:formatCode>General</c:formatCode>
                <c:ptCount val="20"/>
                <c:pt idx="0">
                  <c:v>2010</c:v>
                </c:pt>
                <c:pt idx="4">
                  <c:v>2011</c:v>
                </c:pt>
                <c:pt idx="8">
                  <c:v>2012</c:v>
                </c:pt>
                <c:pt idx="12">
                  <c:v>2013</c:v>
                </c:pt>
                <c:pt idx="16">
                  <c:v>2014</c:v>
                </c:pt>
              </c:numCache>
            </c:numRef>
          </c:cat>
          <c:val>
            <c:numRef>
              <c:f>DA20151232!$M$2:$M$21</c:f>
              <c:numCache>
                <c:formatCode>General</c:formatCode>
                <c:ptCount val="20"/>
                <c:pt idx="0">
                  <c:v>100</c:v>
                </c:pt>
                <c:pt idx="1">
                  <c:v>103.53260869565217</c:v>
                </c:pt>
                <c:pt idx="2">
                  <c:v>106.38586956521738</c:v>
                </c:pt>
                <c:pt idx="3">
                  <c:v>107.74456521739131</c:v>
                </c:pt>
                <c:pt idx="4">
                  <c:v>103.94021739130434</c:v>
                </c:pt>
                <c:pt idx="5">
                  <c:v>105.9782608695652</c:v>
                </c:pt>
                <c:pt idx="6">
                  <c:v>108.42391304347827</c:v>
                </c:pt>
                <c:pt idx="7">
                  <c:v>106.65760869565217</c:v>
                </c:pt>
                <c:pt idx="8">
                  <c:v>110.73369565217391</c:v>
                </c:pt>
                <c:pt idx="9">
                  <c:v>109.23913043478262</c:v>
                </c:pt>
                <c:pt idx="10">
                  <c:v>106.25</c:v>
                </c:pt>
                <c:pt idx="11">
                  <c:v>108.55978260869566</c:v>
                </c:pt>
                <c:pt idx="12">
                  <c:v>106.5217391304348</c:v>
                </c:pt>
                <c:pt idx="13">
                  <c:v>109.23913043478262</c:v>
                </c:pt>
                <c:pt idx="14">
                  <c:v>107.47282608695652</c:v>
                </c:pt>
                <c:pt idx="15">
                  <c:v>113.04347826086956</c:v>
                </c:pt>
                <c:pt idx="16">
                  <c:v>111.00543478260869</c:v>
                </c:pt>
                <c:pt idx="17">
                  <c:v>110.86956521739131</c:v>
                </c:pt>
                <c:pt idx="18">
                  <c:v>115.21739130434783</c:v>
                </c:pt>
                <c:pt idx="19">
                  <c:v>114.53804347826086</c:v>
                </c:pt>
              </c:numCache>
            </c:numRef>
          </c:val>
          <c:smooth val="0"/>
        </c:ser>
        <c:dLbls>
          <c:showLegendKey val="0"/>
          <c:showVal val="0"/>
          <c:showCatName val="0"/>
          <c:showSerName val="0"/>
          <c:showPercent val="0"/>
          <c:showBubbleSize val="0"/>
        </c:dLbls>
        <c:marker val="1"/>
        <c:smooth val="0"/>
        <c:axId val="40410112"/>
        <c:axId val="40420096"/>
      </c:lineChart>
      <c:catAx>
        <c:axId val="40410112"/>
        <c:scaling>
          <c:orientation val="minMax"/>
        </c:scaling>
        <c:delete val="0"/>
        <c:axPos val="b"/>
        <c:numFmt formatCode="General" sourceLinked="1"/>
        <c:majorTickMark val="out"/>
        <c:minorTickMark val="none"/>
        <c:tickLblPos val="nextTo"/>
        <c:crossAx val="40420096"/>
        <c:crosses val="autoZero"/>
        <c:auto val="1"/>
        <c:lblAlgn val="ctr"/>
        <c:lblOffset val="100"/>
        <c:noMultiLvlLbl val="0"/>
      </c:catAx>
      <c:valAx>
        <c:axId val="40420096"/>
        <c:scaling>
          <c:orientation val="minMax"/>
        </c:scaling>
        <c:delete val="0"/>
        <c:axPos val="l"/>
        <c:majorGridlines/>
        <c:numFmt formatCode="General" sourceLinked="1"/>
        <c:majorTickMark val="out"/>
        <c:minorTickMark val="none"/>
        <c:tickLblPos val="nextTo"/>
        <c:crossAx val="40410112"/>
        <c:crosses val="autoZero"/>
        <c:crossBetween val="between"/>
      </c:valAx>
      <c:spPr>
        <a:solidFill>
          <a:schemeClr val="bg1">
            <a:lumMod val="95000"/>
          </a:schemeClr>
        </a:solidFill>
      </c:spPr>
    </c:plotArea>
    <c:legend>
      <c:legendPos val="b"/>
      <c:layout>
        <c:manualLayout>
          <c:xMode val="edge"/>
          <c:yMode val="edge"/>
          <c:x val="0.306415699040961"/>
          <c:y val="0.90104593311565118"/>
          <c:w val="0.38716860191807789"/>
          <c:h val="9.8953866493321899E-2"/>
        </c:manualLayout>
      </c:layout>
      <c:overlay val="0"/>
    </c:legend>
    <c:plotVisOnly val="1"/>
    <c:dispBlanksAs val="gap"/>
    <c:showDLblsOverMax val="0"/>
  </c:chart>
  <c:txPr>
    <a:bodyPr/>
    <a:lstStyle/>
    <a:p>
      <a:pPr>
        <a:spcBef>
          <a:spcPts val="600"/>
        </a:spcBef>
        <a:defRPr sz="1100">
          <a:latin typeface="Tahoma" pitchFamily="34" charset="0"/>
          <a:ea typeface="Tahoma" pitchFamily="34" charset="0"/>
          <a:cs typeface="Tahoma" pitchFamily="34"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a:pPr>
            <a:r>
              <a:rPr lang="en-US" sz="1050" b="0"/>
              <a:t>Figure 14</a:t>
            </a:r>
          </a:p>
          <a:p>
            <a:pPr>
              <a:defRPr sz="1050" b="0"/>
            </a:pPr>
            <a:r>
              <a:rPr lang="en-US" sz="1050" b="0"/>
              <a:t>Waco MSA Quarterly Sales in Arts, Entertainment, and Recreation</a:t>
            </a:r>
          </a:p>
          <a:p>
            <a:pPr>
              <a:defRPr sz="1050" b="0"/>
            </a:pPr>
            <a:r>
              <a:rPr lang="en-US" sz="1050" b="0"/>
              <a:t> 1st Qtr. 2012 - 4th Qtr. 2014 </a:t>
            </a:r>
          </a:p>
        </c:rich>
      </c:tx>
      <c:overlay val="0"/>
    </c:title>
    <c:autoTitleDeleted val="0"/>
    <c:plotArea>
      <c:layout>
        <c:manualLayout>
          <c:layoutTarget val="inner"/>
          <c:xMode val="edge"/>
          <c:yMode val="edge"/>
          <c:x val="0.10062723388245411"/>
          <c:y val="0.2515245491924431"/>
          <c:w val="0.87560648556336984"/>
          <c:h val="0.63249576738061331"/>
        </c:manualLayout>
      </c:layout>
      <c:barChart>
        <c:barDir val="col"/>
        <c:grouping val="clustered"/>
        <c:varyColors val="0"/>
        <c:ser>
          <c:idx val="0"/>
          <c:order val="0"/>
          <c:tx>
            <c:v>Sales in Arts, Entertrainment, and Recreation</c:v>
          </c:tx>
          <c:spPr>
            <a:solidFill>
              <a:srgbClr val="00B050"/>
            </a:solidFill>
            <a:ln>
              <a:solidFill>
                <a:schemeClr val="tx1"/>
              </a:solidFill>
            </a:ln>
          </c:spPr>
          <c:invertIfNegative val="0"/>
          <c:cat>
            <c:numRef>
              <c:f>Sheet1!$B$1:$B$12</c:f>
              <c:numCache>
                <c:formatCode>General</c:formatCode>
                <c:ptCount val="12"/>
                <c:pt idx="0">
                  <c:v>2012</c:v>
                </c:pt>
                <c:pt idx="4">
                  <c:v>2013</c:v>
                </c:pt>
                <c:pt idx="8">
                  <c:v>2014</c:v>
                </c:pt>
              </c:numCache>
            </c:numRef>
          </c:cat>
          <c:val>
            <c:numRef>
              <c:f>Sheet1!$G$1:$G$12</c:f>
              <c:numCache>
                <c:formatCode>0.0</c:formatCode>
                <c:ptCount val="12"/>
                <c:pt idx="0">
                  <c:v>5.1937129999999998</c:v>
                </c:pt>
                <c:pt idx="1">
                  <c:v>6.6005240000000001</c:v>
                </c:pt>
                <c:pt idx="2">
                  <c:v>5.4739719999999998</c:v>
                </c:pt>
                <c:pt idx="3">
                  <c:v>5.8918229999999996</c:v>
                </c:pt>
                <c:pt idx="4">
                  <c:v>5.4708300000000003</c:v>
                </c:pt>
                <c:pt idx="5">
                  <c:v>6.7311670000000001</c:v>
                </c:pt>
                <c:pt idx="6">
                  <c:v>5.7183599999999997</c:v>
                </c:pt>
                <c:pt idx="7">
                  <c:v>6.0610710000000001</c:v>
                </c:pt>
                <c:pt idx="8">
                  <c:v>5.97851</c:v>
                </c:pt>
                <c:pt idx="9">
                  <c:v>7.033175</c:v>
                </c:pt>
                <c:pt idx="10">
                  <c:v>6.0531249999999996</c:v>
                </c:pt>
                <c:pt idx="11">
                  <c:v>6.4354519999999997</c:v>
                </c:pt>
              </c:numCache>
            </c:numRef>
          </c:val>
        </c:ser>
        <c:dLbls>
          <c:showLegendKey val="0"/>
          <c:showVal val="0"/>
          <c:showCatName val="0"/>
          <c:showSerName val="0"/>
          <c:showPercent val="0"/>
          <c:showBubbleSize val="0"/>
        </c:dLbls>
        <c:gapWidth val="150"/>
        <c:axId val="41493248"/>
        <c:axId val="41494784"/>
      </c:barChart>
      <c:catAx>
        <c:axId val="41493248"/>
        <c:scaling>
          <c:orientation val="minMax"/>
        </c:scaling>
        <c:delete val="0"/>
        <c:axPos val="b"/>
        <c:numFmt formatCode="General" sourceLinked="1"/>
        <c:majorTickMark val="out"/>
        <c:minorTickMark val="none"/>
        <c:tickLblPos val="nextTo"/>
        <c:crossAx val="41494784"/>
        <c:crosses val="autoZero"/>
        <c:auto val="1"/>
        <c:lblAlgn val="ctr"/>
        <c:lblOffset val="100"/>
        <c:noMultiLvlLbl val="0"/>
      </c:catAx>
      <c:valAx>
        <c:axId val="41494784"/>
        <c:scaling>
          <c:orientation val="minMax"/>
        </c:scaling>
        <c:delete val="0"/>
        <c:axPos val="l"/>
        <c:majorGridlines/>
        <c:title>
          <c:tx>
            <c:rich>
              <a:bodyPr rot="0" vert="wordArtVert"/>
              <a:lstStyle/>
              <a:p>
                <a:pPr>
                  <a:defRPr b="0"/>
                </a:pPr>
                <a:r>
                  <a:rPr lang="en-US" b="0"/>
                  <a:t>Millions</a:t>
                </a:r>
              </a:p>
            </c:rich>
          </c:tx>
          <c:layout>
            <c:manualLayout>
              <c:xMode val="edge"/>
              <c:yMode val="edge"/>
              <c:x val="3.00633585280977E-5"/>
              <c:y val="0.29426108194808981"/>
            </c:manualLayout>
          </c:layout>
          <c:overlay val="0"/>
        </c:title>
        <c:numFmt formatCode="0.0" sourceLinked="1"/>
        <c:majorTickMark val="out"/>
        <c:minorTickMark val="none"/>
        <c:tickLblPos val="nextTo"/>
        <c:crossAx val="41493248"/>
        <c:crosses val="autoZero"/>
        <c:crossBetween val="between"/>
      </c:valAx>
      <c:spPr>
        <a:solidFill>
          <a:schemeClr val="bg1">
            <a:lumMod val="95000"/>
          </a:schemeClr>
        </a:solidFill>
        <a:ln>
          <a:noFill/>
        </a:ln>
      </c:spPr>
    </c:plotArea>
    <c:plotVisOnly val="1"/>
    <c:dispBlanksAs val="gap"/>
    <c:showDLblsOverMax val="0"/>
  </c:chart>
  <c:txPr>
    <a:bodyPr/>
    <a:lstStyle/>
    <a:p>
      <a:pPr>
        <a:defRPr sz="1050">
          <a:latin typeface="Tahoma" pitchFamily="34" charset="0"/>
          <a:ea typeface="Tahoma" pitchFamily="34" charset="0"/>
          <a:cs typeface="Tahoma" pitchFamily="34"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a:pPr>
            <a:r>
              <a:rPr lang="en-US" sz="1050" b="0"/>
              <a:t>Figure 15</a:t>
            </a:r>
          </a:p>
          <a:p>
            <a:pPr>
              <a:defRPr sz="1050" b="0"/>
            </a:pPr>
            <a:r>
              <a:rPr lang="en-US" sz="1050" b="0"/>
              <a:t>Annual Direct Spending by Visitors in Waco MSA, 2005-2014</a:t>
            </a:r>
          </a:p>
          <a:p>
            <a:pPr>
              <a:defRPr sz="1050" b="0"/>
            </a:pPr>
            <a:r>
              <a:rPr lang="en-US" sz="1050" b="0"/>
              <a:t>$millions</a:t>
            </a:r>
          </a:p>
        </c:rich>
      </c:tx>
      <c:overlay val="0"/>
    </c:title>
    <c:autoTitleDeleted val="0"/>
    <c:plotArea>
      <c:layout>
        <c:manualLayout>
          <c:layoutTarget val="inner"/>
          <c:xMode val="edge"/>
          <c:yMode val="edge"/>
          <c:x val="0.11329081364829396"/>
          <c:y val="0.25682712341369701"/>
          <c:w val="0.86226474190726154"/>
          <c:h val="0.62838866791135639"/>
        </c:manualLayout>
      </c:layout>
      <c:barChart>
        <c:barDir val="col"/>
        <c:grouping val="clustered"/>
        <c:varyColors val="0"/>
        <c:ser>
          <c:idx val="0"/>
          <c:order val="0"/>
          <c:spPr>
            <a:solidFill>
              <a:srgbClr val="C00000"/>
            </a:solidFill>
            <a:ln>
              <a:solidFill>
                <a:schemeClr val="tx1"/>
              </a:solidFill>
            </a:ln>
          </c:spPr>
          <c:invertIfNegative val="0"/>
          <c:cat>
            <c:numRef>
              <c:f>Sheet1!$A$13:$A$22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Sheet1!$B$13:$B$22</c:f>
              <c:numCache>
                <c:formatCode>"$"#,##0.00_);[Red]\("$"#,##0.00\)</c:formatCode>
                <c:ptCount val="10"/>
                <c:pt idx="0">
                  <c:v>391.6</c:v>
                </c:pt>
                <c:pt idx="1">
                  <c:v>412.1</c:v>
                </c:pt>
                <c:pt idx="2">
                  <c:v>438.9</c:v>
                </c:pt>
                <c:pt idx="3">
                  <c:v>458.4</c:v>
                </c:pt>
                <c:pt idx="4">
                  <c:v>408.4</c:v>
                </c:pt>
                <c:pt idx="5">
                  <c:v>438</c:v>
                </c:pt>
                <c:pt idx="6">
                  <c:v>456.3</c:v>
                </c:pt>
                <c:pt idx="7">
                  <c:v>476.8</c:v>
                </c:pt>
                <c:pt idx="8">
                  <c:v>495.9</c:v>
                </c:pt>
                <c:pt idx="9">
                  <c:v>514.4</c:v>
                </c:pt>
              </c:numCache>
            </c:numRef>
          </c:val>
        </c:ser>
        <c:dLbls>
          <c:showLegendKey val="0"/>
          <c:showVal val="0"/>
          <c:showCatName val="0"/>
          <c:showSerName val="0"/>
          <c:showPercent val="0"/>
          <c:showBubbleSize val="0"/>
        </c:dLbls>
        <c:gapWidth val="150"/>
        <c:axId val="41507072"/>
        <c:axId val="41517056"/>
      </c:barChart>
      <c:catAx>
        <c:axId val="41507072"/>
        <c:scaling>
          <c:orientation val="minMax"/>
        </c:scaling>
        <c:delete val="0"/>
        <c:axPos val="b"/>
        <c:numFmt formatCode="General" sourceLinked="1"/>
        <c:majorTickMark val="out"/>
        <c:minorTickMark val="none"/>
        <c:tickLblPos val="nextTo"/>
        <c:crossAx val="41517056"/>
        <c:crosses val="autoZero"/>
        <c:auto val="1"/>
        <c:lblAlgn val="ctr"/>
        <c:lblOffset val="100"/>
        <c:noMultiLvlLbl val="0"/>
      </c:catAx>
      <c:valAx>
        <c:axId val="41517056"/>
        <c:scaling>
          <c:orientation val="minMax"/>
        </c:scaling>
        <c:delete val="0"/>
        <c:axPos val="l"/>
        <c:majorGridlines/>
        <c:numFmt formatCode="&quot;$&quot;#,##0.00_);[Red]\(&quot;$&quot;#,##0.00\)" sourceLinked="1"/>
        <c:majorTickMark val="out"/>
        <c:minorTickMark val="none"/>
        <c:tickLblPos val="nextTo"/>
        <c:crossAx val="41507072"/>
        <c:crosses val="autoZero"/>
        <c:crossBetween val="between"/>
      </c:valAx>
      <c:spPr>
        <a:solidFill>
          <a:schemeClr val="bg1">
            <a:lumMod val="95000"/>
          </a:schemeClr>
        </a:solidFill>
      </c:spPr>
    </c:plotArea>
    <c:plotVisOnly val="1"/>
    <c:dispBlanksAs val="gap"/>
    <c:showDLblsOverMax val="0"/>
  </c:chart>
  <c:txPr>
    <a:bodyPr/>
    <a:lstStyle/>
    <a:p>
      <a:pPr>
        <a:defRPr sz="1050">
          <a:latin typeface="Tahoma" pitchFamily="34" charset="0"/>
          <a:ea typeface="Tahoma" pitchFamily="34" charset="0"/>
          <a:cs typeface="Tahoma" pitchFamily="34"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0"/>
              <a:t>Figure 16</a:t>
            </a:r>
          </a:p>
          <a:p>
            <a:pPr>
              <a:defRPr sz="1200" b="0"/>
            </a:pPr>
            <a:r>
              <a:rPr lang="en-US" sz="1200" b="0"/>
              <a:t>Waco MSA Quarterly</a:t>
            </a:r>
            <a:r>
              <a:rPr lang="en-US" sz="1200" b="0" baseline="0"/>
              <a:t> Average Employment in Retail Sales </a:t>
            </a:r>
            <a:endParaRPr lang="en-US" sz="1200" b="0"/>
          </a:p>
        </c:rich>
      </c:tx>
      <c:overlay val="0"/>
    </c:title>
    <c:autoTitleDeleted val="0"/>
    <c:plotArea>
      <c:layout/>
      <c:barChart>
        <c:barDir val="col"/>
        <c:grouping val="clustered"/>
        <c:varyColors val="0"/>
        <c:ser>
          <c:idx val="0"/>
          <c:order val="0"/>
          <c:spPr>
            <a:solidFill>
              <a:srgbClr val="00B050"/>
            </a:solidFill>
            <a:ln>
              <a:solidFill>
                <a:schemeClr val="tx1"/>
              </a:solidFill>
            </a:ln>
          </c:spPr>
          <c:invertIfNegative val="0"/>
          <c:cat>
            <c:numRef>
              <c:f>DA20151348!$A$6:$A$21</c:f>
              <c:numCache>
                <c:formatCode>General</c:formatCode>
                <c:ptCount val="16"/>
                <c:pt idx="0">
                  <c:v>2011</c:v>
                </c:pt>
                <c:pt idx="4">
                  <c:v>2012</c:v>
                </c:pt>
                <c:pt idx="8">
                  <c:v>2013</c:v>
                </c:pt>
                <c:pt idx="12">
                  <c:v>2014</c:v>
                </c:pt>
              </c:numCache>
            </c:numRef>
          </c:cat>
          <c:val>
            <c:numRef>
              <c:f>DA20151348!$D$6:$D$21</c:f>
              <c:numCache>
                <c:formatCode>#,##0</c:formatCode>
                <c:ptCount val="16"/>
                <c:pt idx="0">
                  <c:v>11456</c:v>
                </c:pt>
                <c:pt idx="1">
                  <c:v>11613</c:v>
                </c:pt>
                <c:pt idx="2">
                  <c:v>11641</c:v>
                </c:pt>
                <c:pt idx="3">
                  <c:v>11798</c:v>
                </c:pt>
                <c:pt idx="4">
                  <c:v>11588</c:v>
                </c:pt>
                <c:pt idx="5">
                  <c:v>11727</c:v>
                </c:pt>
                <c:pt idx="6">
                  <c:v>11762</c:v>
                </c:pt>
                <c:pt idx="7">
                  <c:v>12039</c:v>
                </c:pt>
                <c:pt idx="8">
                  <c:v>11703</c:v>
                </c:pt>
                <c:pt idx="9">
                  <c:v>11798</c:v>
                </c:pt>
                <c:pt idx="10">
                  <c:v>11963</c:v>
                </c:pt>
                <c:pt idx="11">
                  <c:v>12466</c:v>
                </c:pt>
                <c:pt idx="12">
                  <c:v>11990</c:v>
                </c:pt>
                <c:pt idx="13">
                  <c:v>12027</c:v>
                </c:pt>
                <c:pt idx="14">
                  <c:v>12065</c:v>
                </c:pt>
                <c:pt idx="15">
                  <c:v>12337</c:v>
                </c:pt>
              </c:numCache>
            </c:numRef>
          </c:val>
        </c:ser>
        <c:dLbls>
          <c:showLegendKey val="0"/>
          <c:showVal val="0"/>
          <c:showCatName val="0"/>
          <c:showSerName val="0"/>
          <c:showPercent val="0"/>
          <c:showBubbleSize val="0"/>
        </c:dLbls>
        <c:gapWidth val="150"/>
        <c:axId val="41524608"/>
        <c:axId val="41530496"/>
      </c:barChart>
      <c:catAx>
        <c:axId val="41524608"/>
        <c:scaling>
          <c:orientation val="minMax"/>
        </c:scaling>
        <c:delete val="0"/>
        <c:axPos val="b"/>
        <c:numFmt formatCode="General" sourceLinked="1"/>
        <c:majorTickMark val="out"/>
        <c:minorTickMark val="none"/>
        <c:tickLblPos val="nextTo"/>
        <c:crossAx val="41530496"/>
        <c:crosses val="autoZero"/>
        <c:auto val="1"/>
        <c:lblAlgn val="ctr"/>
        <c:lblOffset val="100"/>
        <c:noMultiLvlLbl val="0"/>
      </c:catAx>
      <c:valAx>
        <c:axId val="41530496"/>
        <c:scaling>
          <c:orientation val="minMax"/>
        </c:scaling>
        <c:delete val="0"/>
        <c:axPos val="l"/>
        <c:majorGridlines/>
        <c:numFmt formatCode="#,##0" sourceLinked="1"/>
        <c:majorTickMark val="out"/>
        <c:minorTickMark val="none"/>
        <c:tickLblPos val="nextTo"/>
        <c:crossAx val="41524608"/>
        <c:crosses val="autoZero"/>
        <c:crossBetween val="between"/>
      </c:valAx>
      <c:spPr>
        <a:solidFill>
          <a:schemeClr val="bg1">
            <a:lumMod val="95000"/>
          </a:schemeClr>
        </a:solidFill>
      </c:spPr>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Figure 17</a:t>
            </a:r>
          </a:p>
          <a:p>
            <a:pPr>
              <a:defRPr sz="1050"/>
            </a:pPr>
            <a:r>
              <a:rPr lang="en-US" sz="1050"/>
              <a:t>Quarterly Indexes of Waco MSA Retail Trade Employment and Wages</a:t>
            </a:r>
          </a:p>
          <a:p>
            <a:pPr>
              <a:defRPr sz="1050"/>
            </a:pPr>
            <a:r>
              <a:rPr lang="en-US" sz="1050"/>
              <a:t>1st Qtr. 2010 = 100</a:t>
            </a:r>
          </a:p>
        </c:rich>
      </c:tx>
      <c:layout>
        <c:manualLayout>
          <c:xMode val="edge"/>
          <c:yMode val="edge"/>
          <c:x val="0.10460962214785628"/>
          <c:y val="3.1007751937984496E-2"/>
        </c:manualLayout>
      </c:layout>
      <c:overlay val="0"/>
    </c:title>
    <c:autoTitleDeleted val="0"/>
    <c:plotArea>
      <c:layout>
        <c:manualLayout>
          <c:layoutTarget val="inner"/>
          <c:xMode val="edge"/>
          <c:yMode val="edge"/>
          <c:x val="6.8857392825896757E-2"/>
          <c:y val="0.23964761553996616"/>
          <c:w val="0.90669816272965875"/>
          <c:h val="0.55392541048647992"/>
        </c:manualLayout>
      </c:layout>
      <c:barChart>
        <c:barDir val="col"/>
        <c:grouping val="clustered"/>
        <c:varyColors val="0"/>
        <c:ser>
          <c:idx val="0"/>
          <c:order val="0"/>
          <c:tx>
            <c:strRef>
              <c:f>DA20151348!$H$5</c:f>
              <c:strCache>
                <c:ptCount val="1"/>
                <c:pt idx="0">
                  <c:v>Employment</c:v>
                </c:pt>
              </c:strCache>
            </c:strRef>
          </c:tx>
          <c:spPr>
            <a:solidFill>
              <a:srgbClr val="00B050"/>
            </a:solidFill>
            <a:ln>
              <a:solidFill>
                <a:schemeClr val="tx1"/>
              </a:solidFill>
              <a:prstDash val="sysDash"/>
            </a:ln>
          </c:spPr>
          <c:invertIfNegative val="0"/>
          <c:cat>
            <c:numRef>
              <c:f>DA20151348!$A$6:$A$21</c:f>
              <c:numCache>
                <c:formatCode>General</c:formatCode>
                <c:ptCount val="16"/>
                <c:pt idx="0">
                  <c:v>2011</c:v>
                </c:pt>
                <c:pt idx="4">
                  <c:v>2012</c:v>
                </c:pt>
                <c:pt idx="8">
                  <c:v>2013</c:v>
                </c:pt>
                <c:pt idx="12">
                  <c:v>2014</c:v>
                </c:pt>
              </c:numCache>
            </c:numRef>
          </c:cat>
          <c:val>
            <c:numRef>
              <c:f>DA20151348!$H$6:$H$21</c:f>
              <c:numCache>
                <c:formatCode>General</c:formatCode>
                <c:ptCount val="16"/>
                <c:pt idx="0">
                  <c:v>101.61433386553131</c:v>
                </c:pt>
                <c:pt idx="1">
                  <c:v>103.00691857370943</c:v>
                </c:pt>
                <c:pt idx="2">
                  <c:v>103.255277629945</c:v>
                </c:pt>
                <c:pt idx="3">
                  <c:v>104.6478623381231</c:v>
                </c:pt>
                <c:pt idx="4">
                  <c:v>102.78516941635623</c:v>
                </c:pt>
                <c:pt idx="5">
                  <c:v>104.01809473124001</c:v>
                </c:pt>
                <c:pt idx="6">
                  <c:v>104.32854355153451</c:v>
                </c:pt>
                <c:pt idx="7">
                  <c:v>106.78552421500798</c:v>
                </c:pt>
                <c:pt idx="8">
                  <c:v>103.80521554018094</c:v>
                </c:pt>
                <c:pt idx="9">
                  <c:v>104.6478623381231</c:v>
                </c:pt>
                <c:pt idx="10">
                  <c:v>106.11140677665425</c:v>
                </c:pt>
                <c:pt idx="11">
                  <c:v>110.57299982260066</c:v>
                </c:pt>
                <c:pt idx="12">
                  <c:v>106.35089586659569</c:v>
                </c:pt>
                <c:pt idx="13">
                  <c:v>106.67908461947843</c:v>
                </c:pt>
                <c:pt idx="14">
                  <c:v>107.01614333865533</c:v>
                </c:pt>
                <c:pt idx="15">
                  <c:v>109.42877417065814</c:v>
                </c:pt>
              </c:numCache>
            </c:numRef>
          </c:val>
        </c:ser>
        <c:ser>
          <c:idx val="1"/>
          <c:order val="1"/>
          <c:tx>
            <c:strRef>
              <c:f>DA20151348!$I$5</c:f>
              <c:strCache>
                <c:ptCount val="1"/>
                <c:pt idx="0">
                  <c:v>Average Wage</c:v>
                </c:pt>
              </c:strCache>
            </c:strRef>
          </c:tx>
          <c:spPr>
            <a:solidFill>
              <a:srgbClr val="C00000"/>
            </a:solidFill>
            <a:ln>
              <a:solidFill>
                <a:schemeClr val="tx1"/>
              </a:solidFill>
            </a:ln>
          </c:spPr>
          <c:invertIfNegative val="0"/>
          <c:cat>
            <c:numRef>
              <c:f>DA20151348!$A$6:$A$21</c:f>
              <c:numCache>
                <c:formatCode>General</c:formatCode>
                <c:ptCount val="16"/>
                <c:pt idx="0">
                  <c:v>2011</c:v>
                </c:pt>
                <c:pt idx="4">
                  <c:v>2012</c:v>
                </c:pt>
                <c:pt idx="8">
                  <c:v>2013</c:v>
                </c:pt>
                <c:pt idx="12">
                  <c:v>2014</c:v>
                </c:pt>
              </c:numCache>
            </c:numRef>
          </c:cat>
          <c:val>
            <c:numRef>
              <c:f>DA20151348!$I$6:$I$21</c:f>
              <c:numCache>
                <c:formatCode>General</c:formatCode>
                <c:ptCount val="16"/>
                <c:pt idx="0">
                  <c:v>102.733</c:v>
                </c:pt>
                <c:pt idx="1">
                  <c:v>103.645</c:v>
                </c:pt>
                <c:pt idx="2">
                  <c:v>109.795</c:v>
                </c:pt>
                <c:pt idx="3">
                  <c:v>109.339</c:v>
                </c:pt>
                <c:pt idx="4">
                  <c:v>110.93300000000001</c:v>
                </c:pt>
                <c:pt idx="5">
                  <c:v>108.2</c:v>
                </c:pt>
                <c:pt idx="6">
                  <c:v>109.339</c:v>
                </c:pt>
                <c:pt idx="7">
                  <c:v>112.529</c:v>
                </c:pt>
                <c:pt idx="8">
                  <c:v>112.756</c:v>
                </c:pt>
                <c:pt idx="9">
                  <c:v>111.161</c:v>
                </c:pt>
                <c:pt idx="10">
                  <c:v>111.845</c:v>
                </c:pt>
                <c:pt idx="11">
                  <c:v>114.351</c:v>
                </c:pt>
                <c:pt idx="12">
                  <c:v>112.529</c:v>
                </c:pt>
                <c:pt idx="13">
                  <c:v>115.03400000000001</c:v>
                </c:pt>
                <c:pt idx="14">
                  <c:v>112.98399999999999</c:v>
                </c:pt>
                <c:pt idx="15">
                  <c:v>120.729</c:v>
                </c:pt>
              </c:numCache>
            </c:numRef>
          </c:val>
        </c:ser>
        <c:dLbls>
          <c:showLegendKey val="0"/>
          <c:showVal val="0"/>
          <c:showCatName val="0"/>
          <c:showSerName val="0"/>
          <c:showPercent val="0"/>
          <c:showBubbleSize val="0"/>
        </c:dLbls>
        <c:gapWidth val="150"/>
        <c:axId val="41563648"/>
        <c:axId val="41565184"/>
      </c:barChart>
      <c:catAx>
        <c:axId val="41563648"/>
        <c:scaling>
          <c:orientation val="minMax"/>
        </c:scaling>
        <c:delete val="0"/>
        <c:axPos val="b"/>
        <c:numFmt formatCode="General" sourceLinked="1"/>
        <c:majorTickMark val="out"/>
        <c:minorTickMark val="none"/>
        <c:tickLblPos val="nextTo"/>
        <c:crossAx val="41565184"/>
        <c:crosses val="autoZero"/>
        <c:auto val="1"/>
        <c:lblAlgn val="ctr"/>
        <c:lblOffset val="100"/>
        <c:noMultiLvlLbl val="0"/>
      </c:catAx>
      <c:valAx>
        <c:axId val="41565184"/>
        <c:scaling>
          <c:orientation val="minMax"/>
        </c:scaling>
        <c:delete val="0"/>
        <c:axPos val="l"/>
        <c:majorGridlines/>
        <c:numFmt formatCode="General" sourceLinked="1"/>
        <c:majorTickMark val="out"/>
        <c:minorTickMark val="none"/>
        <c:tickLblPos val="nextTo"/>
        <c:crossAx val="41563648"/>
        <c:crosses val="autoZero"/>
        <c:crossBetween val="between"/>
      </c:valAx>
      <c:spPr>
        <a:solidFill>
          <a:schemeClr val="bg1">
            <a:lumMod val="95000"/>
          </a:schemeClr>
        </a:solidFill>
      </c:spPr>
    </c:plotArea>
    <c:legend>
      <c:legendPos val="b"/>
      <c:overlay val="0"/>
    </c:legend>
    <c:plotVisOnly val="1"/>
    <c:dispBlanksAs val="gap"/>
    <c:showDLblsOverMax val="0"/>
  </c:chart>
  <c:txPr>
    <a:bodyPr/>
    <a:lstStyle/>
    <a:p>
      <a:pPr>
        <a:defRPr sz="1050" b="0">
          <a:latin typeface="Tahoma" pitchFamily="34" charset="0"/>
          <a:ea typeface="Tahoma" pitchFamily="34" charset="0"/>
          <a:cs typeface="Tahoma" pitchFamily="34"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a:pPr>
            <a:r>
              <a:rPr lang="en-US" sz="1050" b="0"/>
              <a:t>Figure 18</a:t>
            </a:r>
          </a:p>
          <a:p>
            <a:pPr>
              <a:defRPr sz="1050" b="0"/>
            </a:pPr>
            <a:r>
              <a:rPr lang="en-US" sz="1050" b="0"/>
              <a:t>Waco MSA Monthly</a:t>
            </a:r>
            <a:r>
              <a:rPr lang="en-US" sz="1050" b="0" baseline="0"/>
              <a:t> Construction Employment</a:t>
            </a:r>
          </a:p>
          <a:p>
            <a:pPr>
              <a:defRPr sz="1050" b="0"/>
            </a:pPr>
            <a:r>
              <a:rPr lang="en-US" sz="1050" b="0" baseline="0"/>
              <a:t> thousands</a:t>
            </a:r>
            <a:endParaRPr lang="en-US" sz="1050" b="0"/>
          </a:p>
        </c:rich>
      </c:tx>
      <c:overlay val="0"/>
    </c:title>
    <c:autoTitleDeleted val="0"/>
    <c:plotArea>
      <c:layout>
        <c:manualLayout>
          <c:layoutTarget val="inner"/>
          <c:xMode val="edge"/>
          <c:yMode val="edge"/>
          <c:x val="6.7657702424467558E-2"/>
          <c:y val="0.33538909177907722"/>
          <c:w val="0.93234229757553244"/>
          <c:h val="0.55186647245501819"/>
        </c:manualLayout>
      </c:layout>
      <c:barChart>
        <c:barDir val="col"/>
        <c:grouping val="clustered"/>
        <c:varyColors val="0"/>
        <c:ser>
          <c:idx val="0"/>
          <c:order val="0"/>
          <c:tx>
            <c:v>2013</c:v>
          </c:tx>
          <c:spPr>
            <a:solidFill>
              <a:srgbClr val="C00000"/>
            </a:solidFill>
            <a:ln>
              <a:solidFill>
                <a:sysClr val="windowText" lastClr="000000"/>
              </a:solidFill>
            </a:ln>
          </c:spPr>
          <c:invertIfNegative val="0"/>
          <c:cat>
            <c:strRef>
              <c:f>'[SeriesReport-20150813151952_c2f11e.xlsx]BLS Data Series'!$B$13:$M$13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'[SeriesReport-20150813151952_c2f11e.xlsx]BLS Data Series'!$B$22:$M$22</c:f>
              <c:numCache>
                <c:formatCode>#0.0</c:formatCode>
                <c:ptCount val="12"/>
                <c:pt idx="0">
                  <c:v>6.3</c:v>
                </c:pt>
                <c:pt idx="1">
                  <c:v>6.4</c:v>
                </c:pt>
                <c:pt idx="2">
                  <c:v>6.6</c:v>
                </c:pt>
                <c:pt idx="3">
                  <c:v>6.6</c:v>
                </c:pt>
                <c:pt idx="4">
                  <c:v>6.5</c:v>
                </c:pt>
                <c:pt idx="5">
                  <c:v>6.5</c:v>
                </c:pt>
                <c:pt idx="6">
                  <c:v>6.5</c:v>
                </c:pt>
                <c:pt idx="7">
                  <c:v>6.5</c:v>
                </c:pt>
                <c:pt idx="8">
                  <c:v>6.4</c:v>
                </c:pt>
                <c:pt idx="9">
                  <c:v>6.3</c:v>
                </c:pt>
                <c:pt idx="10">
                  <c:v>6.2</c:v>
                </c:pt>
                <c:pt idx="11">
                  <c:v>6.2</c:v>
                </c:pt>
              </c:numCache>
            </c:numRef>
          </c:val>
        </c:ser>
        <c:ser>
          <c:idx val="1"/>
          <c:order val="1"/>
          <c:tx>
            <c:v>2014</c:v>
          </c:tx>
          <c:spPr>
            <a:solidFill>
              <a:srgbClr val="0070C0"/>
            </a:solidFill>
            <a:ln>
              <a:solidFill>
                <a:sysClr val="windowText" lastClr="000000"/>
              </a:solidFill>
            </a:ln>
          </c:spPr>
          <c:invertIfNegative val="0"/>
          <c:cat>
            <c:strRef>
              <c:f>'[SeriesReport-20150813151952_c2f11e.xlsx]BLS Data Series'!$B$13:$M$13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'[SeriesReport-20150813151952_c2f11e.xlsx]BLS Data Series'!$B$23:$M$23</c:f>
              <c:numCache>
                <c:formatCode>#0.0</c:formatCode>
                <c:ptCount val="12"/>
                <c:pt idx="0">
                  <c:v>6.4</c:v>
                </c:pt>
                <c:pt idx="1">
                  <c:v>6.2</c:v>
                </c:pt>
                <c:pt idx="2">
                  <c:v>6.2</c:v>
                </c:pt>
                <c:pt idx="3">
                  <c:v>6.3</c:v>
                </c:pt>
                <c:pt idx="4">
                  <c:v>6.3</c:v>
                </c:pt>
                <c:pt idx="5">
                  <c:v>6.5</c:v>
                </c:pt>
                <c:pt idx="6">
                  <c:v>6.6</c:v>
                </c:pt>
                <c:pt idx="7">
                  <c:v>6.6</c:v>
                </c:pt>
                <c:pt idx="8">
                  <c:v>6.4</c:v>
                </c:pt>
                <c:pt idx="9">
                  <c:v>6.5</c:v>
                </c:pt>
                <c:pt idx="10">
                  <c:v>6.5</c:v>
                </c:pt>
                <c:pt idx="11">
                  <c:v>6.6</c:v>
                </c:pt>
              </c:numCache>
            </c:numRef>
          </c:val>
        </c:ser>
        <c:ser>
          <c:idx val="2"/>
          <c:order val="2"/>
          <c:tx>
            <c:v>2015</c:v>
          </c:tx>
          <c:spPr>
            <a:solidFill>
              <a:srgbClr val="00B050"/>
            </a:solidFill>
            <a:ln>
              <a:solidFill>
                <a:schemeClr val="tx1"/>
              </a:solidFill>
            </a:ln>
          </c:spPr>
          <c:invertIfNegative val="0"/>
          <c:cat>
            <c:strRef>
              <c:f>'[SeriesReport-20150813151952_c2f11e.xlsx]BLS Data Series'!$B$13:$M$13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'[SeriesReport-20150813151952_c2f11e.xlsx]BLS Data Series'!$B$24:$M$24</c:f>
              <c:numCache>
                <c:formatCode>#0.0</c:formatCode>
                <c:ptCount val="12"/>
                <c:pt idx="0">
                  <c:v>6.7</c:v>
                </c:pt>
                <c:pt idx="1">
                  <c:v>6.6</c:v>
                </c:pt>
                <c:pt idx="2">
                  <c:v>6.6</c:v>
                </c:pt>
                <c:pt idx="3">
                  <c:v>6.7</c:v>
                </c:pt>
                <c:pt idx="4">
                  <c:v>6.5</c:v>
                </c:pt>
                <c:pt idx="5">
                  <c:v>6.5</c:v>
                </c:pt>
              </c:numCache>
            </c:numRef>
          </c:val>
        </c:ser>
        <c:dLbls>
          <c:showLegendKey val="0"/>
          <c:showVal val="0"/>
          <c:showCatName val="0"/>
          <c:showSerName val="0"/>
          <c:showPercent val="0"/>
          <c:showBubbleSize val="0"/>
        </c:dLbls>
        <c:gapWidth val="150"/>
        <c:axId val="41595648"/>
        <c:axId val="41597184"/>
      </c:barChart>
      <c:catAx>
        <c:axId val="41595648"/>
        <c:scaling>
          <c:orientation val="minMax"/>
        </c:scaling>
        <c:delete val="0"/>
        <c:axPos val="b"/>
        <c:majorTickMark val="out"/>
        <c:minorTickMark val="none"/>
        <c:tickLblPos val="nextTo"/>
        <c:txPr>
          <a:bodyPr/>
          <a:lstStyle/>
          <a:p>
            <a:pPr>
              <a:defRPr sz="1000"/>
            </a:pPr>
            <a:endParaRPr lang="en-US"/>
          </a:p>
        </c:txPr>
        <c:crossAx val="41597184"/>
        <c:crosses val="autoZero"/>
        <c:auto val="1"/>
        <c:lblAlgn val="ctr"/>
        <c:lblOffset val="100"/>
        <c:noMultiLvlLbl val="0"/>
      </c:catAx>
      <c:valAx>
        <c:axId val="41597184"/>
        <c:scaling>
          <c:orientation val="minMax"/>
        </c:scaling>
        <c:delete val="0"/>
        <c:axPos val="l"/>
        <c:majorGridlines/>
        <c:numFmt formatCode="#0.0" sourceLinked="1"/>
        <c:majorTickMark val="out"/>
        <c:minorTickMark val="none"/>
        <c:tickLblPos val="nextTo"/>
        <c:txPr>
          <a:bodyPr/>
          <a:lstStyle/>
          <a:p>
            <a:pPr>
              <a:defRPr sz="1000"/>
            </a:pPr>
            <a:endParaRPr lang="en-US"/>
          </a:p>
        </c:txPr>
        <c:crossAx val="41595648"/>
        <c:crosses val="autoZero"/>
        <c:crossBetween val="between"/>
      </c:valAx>
      <c:spPr>
        <a:solidFill>
          <a:schemeClr val="bg1">
            <a:lumMod val="95000"/>
          </a:schemeClr>
        </a:solidFill>
      </c:spPr>
    </c:plotArea>
    <c:legend>
      <c:legendPos val="t"/>
      <c:layout>
        <c:manualLayout>
          <c:xMode val="edge"/>
          <c:yMode val="edge"/>
          <c:x val="0.36868874483634528"/>
          <c:y val="0.21905736983949392"/>
          <c:w val="0.2682411110094492"/>
          <c:h val="7.2610720383253058E-2"/>
        </c:manualLayout>
      </c:layout>
      <c:overlay val="0"/>
      <c:spPr>
        <a:ln w="3175">
          <a:solidFill>
            <a:schemeClr val="tx1"/>
          </a:solidFill>
        </a:ln>
      </c:spPr>
      <c:txPr>
        <a:bodyPr/>
        <a:lstStyle/>
        <a:p>
          <a:pPr>
            <a:defRPr sz="1000"/>
          </a:pPr>
          <a:endParaRPr lang="en-US"/>
        </a:p>
      </c:txPr>
    </c:legend>
    <c:plotVisOnly val="1"/>
    <c:dispBlanksAs val="gap"/>
    <c:showDLblsOverMax val="0"/>
  </c:chart>
  <c:txPr>
    <a:bodyPr/>
    <a:lstStyle/>
    <a:p>
      <a:pPr>
        <a:defRPr sz="1100">
          <a:latin typeface="Tahoma" pitchFamily="34" charset="0"/>
          <a:ea typeface="Tahoma" pitchFamily="34" charset="0"/>
          <a:cs typeface="Tahoma" pitchFamily="34"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Figure 19</a:t>
            </a:r>
          </a:p>
          <a:p>
            <a:pPr>
              <a:defRPr sz="1050"/>
            </a:pPr>
            <a:r>
              <a:rPr lang="en-US" sz="1050"/>
              <a:t>Waco Multilist Single Family Home Sales </a:t>
            </a:r>
          </a:p>
        </c:rich>
      </c:tx>
      <c:overlay val="0"/>
    </c:title>
    <c:autoTitleDeleted val="0"/>
    <c:plotArea>
      <c:layout>
        <c:manualLayout>
          <c:layoutTarget val="inner"/>
          <c:xMode val="edge"/>
          <c:yMode val="edge"/>
          <c:x val="8.607174103237096E-2"/>
          <c:y val="0.1819905018400115"/>
          <c:w val="0.86655272742070033"/>
          <c:h val="0.64561271158470457"/>
        </c:manualLayout>
      </c:layout>
      <c:barChart>
        <c:barDir val="col"/>
        <c:grouping val="clustered"/>
        <c:varyColors val="0"/>
        <c:ser>
          <c:idx val="0"/>
          <c:order val="0"/>
          <c:tx>
            <c:v>2013</c:v>
          </c:tx>
          <c:spPr>
            <a:solidFill>
              <a:schemeClr val="tx2"/>
            </a:solidFill>
            <a:ln>
              <a:solidFill>
                <a:schemeClr val="tx1"/>
              </a:solidFill>
            </a:ln>
          </c:spPr>
          <c:invertIfNegative val="0"/>
          <c:cat>
            <c:strRef>
              <c:f>Sheet2!$B$1:$M$1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Sheet2!$B$2:$M$2</c:f>
              <c:numCache>
                <c:formatCode>General</c:formatCode>
                <c:ptCount val="12"/>
                <c:pt idx="0">
                  <c:v>118</c:v>
                </c:pt>
                <c:pt idx="1">
                  <c:v>163</c:v>
                </c:pt>
                <c:pt idx="2">
                  <c:v>182</c:v>
                </c:pt>
                <c:pt idx="3">
                  <c:v>191</c:v>
                </c:pt>
                <c:pt idx="4">
                  <c:v>237</c:v>
                </c:pt>
                <c:pt idx="5">
                  <c:v>227</c:v>
                </c:pt>
                <c:pt idx="6">
                  <c:v>233</c:v>
                </c:pt>
                <c:pt idx="7">
                  <c:v>243</c:v>
                </c:pt>
                <c:pt idx="8">
                  <c:v>203</c:v>
                </c:pt>
                <c:pt idx="9">
                  <c:v>155</c:v>
                </c:pt>
                <c:pt idx="10">
                  <c:v>179</c:v>
                </c:pt>
                <c:pt idx="11">
                  <c:v>155</c:v>
                </c:pt>
              </c:numCache>
            </c:numRef>
          </c:val>
        </c:ser>
        <c:ser>
          <c:idx val="1"/>
          <c:order val="1"/>
          <c:tx>
            <c:v>2014</c:v>
          </c:tx>
          <c:spPr>
            <a:solidFill>
              <a:srgbClr val="C00000"/>
            </a:solidFill>
            <a:ln>
              <a:solidFill>
                <a:schemeClr val="tx1"/>
              </a:solidFill>
            </a:ln>
          </c:spPr>
          <c:invertIfNegative val="0"/>
          <c:cat>
            <c:strRef>
              <c:f>Sheet2!$B$1:$M$1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Sheet2!$B$3:$M$3</c:f>
              <c:numCache>
                <c:formatCode>General</c:formatCode>
                <c:ptCount val="12"/>
                <c:pt idx="0">
                  <c:v>145</c:v>
                </c:pt>
                <c:pt idx="1">
                  <c:v>131</c:v>
                </c:pt>
                <c:pt idx="2">
                  <c:v>200</c:v>
                </c:pt>
                <c:pt idx="3">
                  <c:v>219</c:v>
                </c:pt>
                <c:pt idx="4">
                  <c:v>239</c:v>
                </c:pt>
                <c:pt idx="5">
                  <c:v>261</c:v>
                </c:pt>
                <c:pt idx="6">
                  <c:v>242</c:v>
                </c:pt>
                <c:pt idx="7">
                  <c:v>230</c:v>
                </c:pt>
                <c:pt idx="8">
                  <c:v>234</c:v>
                </c:pt>
                <c:pt idx="9">
                  <c:v>219</c:v>
                </c:pt>
                <c:pt idx="10">
                  <c:v>162</c:v>
                </c:pt>
                <c:pt idx="11">
                  <c:v>211</c:v>
                </c:pt>
              </c:numCache>
            </c:numRef>
          </c:val>
        </c:ser>
        <c:ser>
          <c:idx val="2"/>
          <c:order val="2"/>
          <c:tx>
            <c:v>2015</c:v>
          </c:tx>
          <c:spPr>
            <a:solidFill>
              <a:srgbClr val="00B050"/>
            </a:solidFill>
            <a:ln>
              <a:solidFill>
                <a:sysClr val="windowText" lastClr="000000"/>
              </a:solidFill>
            </a:ln>
          </c:spPr>
          <c:invertIfNegative val="0"/>
          <c:cat>
            <c:strRef>
              <c:f>Sheet2!$B$1:$M$1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Sheet2!$B$4:$M$4</c:f>
              <c:numCache>
                <c:formatCode>General</c:formatCode>
                <c:ptCount val="12"/>
                <c:pt idx="0">
                  <c:v>144</c:v>
                </c:pt>
                <c:pt idx="1">
                  <c:v>186</c:v>
                </c:pt>
                <c:pt idx="2">
                  <c:v>241</c:v>
                </c:pt>
                <c:pt idx="3">
                  <c:v>237</c:v>
                </c:pt>
                <c:pt idx="4">
                  <c:v>264</c:v>
                </c:pt>
                <c:pt idx="5">
                  <c:v>280</c:v>
                </c:pt>
              </c:numCache>
            </c:numRef>
          </c:val>
        </c:ser>
        <c:dLbls>
          <c:showLegendKey val="0"/>
          <c:showVal val="0"/>
          <c:showCatName val="0"/>
          <c:showSerName val="0"/>
          <c:showPercent val="0"/>
          <c:showBubbleSize val="0"/>
        </c:dLbls>
        <c:gapWidth val="150"/>
        <c:axId val="40246656"/>
        <c:axId val="40256640"/>
      </c:barChart>
      <c:catAx>
        <c:axId val="40246656"/>
        <c:scaling>
          <c:orientation val="minMax"/>
        </c:scaling>
        <c:delete val="0"/>
        <c:axPos val="b"/>
        <c:majorTickMark val="out"/>
        <c:minorTickMark val="none"/>
        <c:tickLblPos val="nextTo"/>
        <c:crossAx val="40256640"/>
        <c:crosses val="autoZero"/>
        <c:auto val="1"/>
        <c:lblAlgn val="ctr"/>
        <c:lblOffset val="100"/>
        <c:noMultiLvlLbl val="0"/>
      </c:catAx>
      <c:valAx>
        <c:axId val="40256640"/>
        <c:scaling>
          <c:orientation val="minMax"/>
        </c:scaling>
        <c:delete val="0"/>
        <c:axPos val="l"/>
        <c:majorGridlines/>
        <c:numFmt formatCode="General" sourceLinked="1"/>
        <c:majorTickMark val="out"/>
        <c:minorTickMark val="none"/>
        <c:tickLblPos val="nextTo"/>
        <c:crossAx val="40246656"/>
        <c:crosses val="autoZero"/>
        <c:crossBetween val="between"/>
      </c:valAx>
      <c:spPr>
        <a:solidFill>
          <a:schemeClr val="bg1">
            <a:lumMod val="95000"/>
          </a:schemeClr>
        </a:solidFill>
        <a:ln>
          <a:solidFill>
            <a:sysClr val="windowText" lastClr="000000"/>
          </a:solidFill>
        </a:ln>
      </c:spPr>
    </c:plotArea>
    <c:legend>
      <c:legendPos val="b"/>
      <c:layout>
        <c:manualLayout>
          <c:xMode val="edge"/>
          <c:yMode val="edge"/>
          <c:x val="0.346168875966686"/>
          <c:y val="0.9236358271769457"/>
          <c:w val="0.28043109983991976"/>
          <c:h val="7.6364068994201423E-2"/>
        </c:manualLayout>
      </c:layout>
      <c:overlay val="0"/>
    </c:legend>
    <c:plotVisOnly val="1"/>
    <c:dispBlanksAs val="gap"/>
    <c:showDLblsOverMax val="0"/>
  </c:chart>
  <c:txPr>
    <a:bodyPr/>
    <a:lstStyle/>
    <a:p>
      <a:pPr>
        <a:defRPr sz="1050" b="0">
          <a:latin typeface="Tahoma" pitchFamily="34" charset="0"/>
          <a:ea typeface="Tahoma" pitchFamily="34" charset="0"/>
          <a:cs typeface="Tahoma"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a:pPr>
            <a:r>
              <a:rPr lang="en-US" sz="1050" b="0"/>
              <a:t>Figure 2</a:t>
            </a:r>
          </a:p>
          <a:p>
            <a:pPr>
              <a:defRPr sz="1050" b="0"/>
            </a:pPr>
            <a:r>
              <a:rPr lang="en-US" sz="1050" b="0"/>
              <a:t>Average Annual Rate of Change in Consumer Price Index</a:t>
            </a:r>
          </a:p>
          <a:p>
            <a:pPr>
              <a:defRPr sz="1050" b="0"/>
            </a:pPr>
            <a:r>
              <a:rPr lang="en-US" sz="1050" b="0"/>
              <a:t>Central Texas Bi-Monthly, Jan. 2012 - May 2015</a:t>
            </a:r>
          </a:p>
        </c:rich>
      </c:tx>
      <c:overlay val="0"/>
    </c:title>
    <c:autoTitleDeleted val="0"/>
    <c:plotArea>
      <c:layout>
        <c:manualLayout>
          <c:layoutTarget val="inner"/>
          <c:xMode val="edge"/>
          <c:yMode val="edge"/>
          <c:x val="7.0716947962830984E-2"/>
          <c:y val="0.25956684542709979"/>
          <c:w val="0.90417304302781087"/>
          <c:h val="0.51706808783549518"/>
        </c:manualLayout>
      </c:layout>
      <c:barChart>
        <c:barDir val="col"/>
        <c:grouping val="clustered"/>
        <c:varyColors val="0"/>
        <c:ser>
          <c:idx val="0"/>
          <c:order val="0"/>
          <c:tx>
            <c:v>2012</c:v>
          </c:tx>
          <c:spPr>
            <a:solidFill>
              <a:srgbClr val="FF0000"/>
            </a:solidFill>
            <a:ln>
              <a:solidFill>
                <a:schemeClr val="tx1"/>
              </a:solidFill>
            </a:ln>
          </c:spPr>
          <c:invertIfNegative val="0"/>
          <c:cat>
            <c:strRef>
              <c:f>Sheet1!$B$6:$G$6</c:f>
              <c:strCache>
                <c:ptCount val="6"/>
                <c:pt idx="0">
                  <c:v>Jan</c:v>
                </c:pt>
                <c:pt idx="1">
                  <c:v>Mar</c:v>
                </c:pt>
                <c:pt idx="2">
                  <c:v>May</c:v>
                </c:pt>
                <c:pt idx="3">
                  <c:v>jul</c:v>
                </c:pt>
                <c:pt idx="4">
                  <c:v>Sep</c:v>
                </c:pt>
                <c:pt idx="5">
                  <c:v>Nov</c:v>
                </c:pt>
              </c:strCache>
            </c:strRef>
          </c:cat>
          <c:val>
            <c:numRef>
              <c:f>Sheet1!$B$7:$G$7</c:f>
              <c:numCache>
                <c:formatCode>General</c:formatCode>
                <c:ptCount val="6"/>
                <c:pt idx="0">
                  <c:v>2.4</c:v>
                </c:pt>
                <c:pt idx="1">
                  <c:v>2.7</c:v>
                </c:pt>
                <c:pt idx="2">
                  <c:v>1.8</c:v>
                </c:pt>
                <c:pt idx="3">
                  <c:v>1.5</c:v>
                </c:pt>
                <c:pt idx="4">
                  <c:v>2.2999999999999998</c:v>
                </c:pt>
                <c:pt idx="5">
                  <c:v>1.9</c:v>
                </c:pt>
              </c:numCache>
            </c:numRef>
          </c:val>
        </c:ser>
        <c:ser>
          <c:idx val="1"/>
          <c:order val="1"/>
          <c:tx>
            <c:v>2013</c:v>
          </c:tx>
          <c:spPr>
            <a:solidFill>
              <a:srgbClr val="0070C0"/>
            </a:solidFill>
            <a:ln>
              <a:solidFill>
                <a:schemeClr val="tx1"/>
              </a:solidFill>
            </a:ln>
          </c:spPr>
          <c:invertIfNegative val="0"/>
          <c:cat>
            <c:strRef>
              <c:f>Sheet1!$B$6:$G$6</c:f>
              <c:strCache>
                <c:ptCount val="6"/>
                <c:pt idx="0">
                  <c:v>Jan</c:v>
                </c:pt>
                <c:pt idx="1">
                  <c:v>Mar</c:v>
                </c:pt>
                <c:pt idx="2">
                  <c:v>May</c:v>
                </c:pt>
                <c:pt idx="3">
                  <c:v>jul</c:v>
                </c:pt>
                <c:pt idx="4">
                  <c:v>Sep</c:v>
                </c:pt>
                <c:pt idx="5">
                  <c:v>Nov</c:v>
                </c:pt>
              </c:strCache>
            </c:strRef>
          </c:cat>
          <c:val>
            <c:numRef>
              <c:f>Sheet1!$B$8:$G$8</c:f>
              <c:numCache>
                <c:formatCode>General</c:formatCode>
                <c:ptCount val="6"/>
                <c:pt idx="0">
                  <c:v>2.4</c:v>
                </c:pt>
                <c:pt idx="1">
                  <c:v>1.9</c:v>
                </c:pt>
                <c:pt idx="2">
                  <c:v>1.7</c:v>
                </c:pt>
                <c:pt idx="3">
                  <c:v>2.2000000000000002</c:v>
                </c:pt>
                <c:pt idx="4">
                  <c:v>1.2</c:v>
                </c:pt>
                <c:pt idx="5">
                  <c:v>1.2</c:v>
                </c:pt>
              </c:numCache>
            </c:numRef>
          </c:val>
        </c:ser>
        <c:ser>
          <c:idx val="2"/>
          <c:order val="2"/>
          <c:tx>
            <c:v>2014</c:v>
          </c:tx>
          <c:spPr>
            <a:solidFill>
              <a:srgbClr val="00B050"/>
            </a:solidFill>
            <a:ln>
              <a:solidFill>
                <a:schemeClr val="tx1"/>
              </a:solidFill>
            </a:ln>
          </c:spPr>
          <c:invertIfNegative val="0"/>
          <c:cat>
            <c:strRef>
              <c:f>Sheet1!$B$6:$G$6</c:f>
              <c:strCache>
                <c:ptCount val="6"/>
                <c:pt idx="0">
                  <c:v>Jan</c:v>
                </c:pt>
                <c:pt idx="1">
                  <c:v>Mar</c:v>
                </c:pt>
                <c:pt idx="2">
                  <c:v>May</c:v>
                </c:pt>
                <c:pt idx="3">
                  <c:v>jul</c:v>
                </c:pt>
                <c:pt idx="4">
                  <c:v>Sep</c:v>
                </c:pt>
                <c:pt idx="5">
                  <c:v>Nov</c:v>
                </c:pt>
              </c:strCache>
            </c:strRef>
          </c:cat>
          <c:val>
            <c:numRef>
              <c:f>Sheet1!$B$9:$G$9</c:f>
              <c:numCache>
                <c:formatCode>General</c:formatCode>
                <c:ptCount val="6"/>
                <c:pt idx="0">
                  <c:v>1.3</c:v>
                </c:pt>
                <c:pt idx="1">
                  <c:v>1.3</c:v>
                </c:pt>
                <c:pt idx="2">
                  <c:v>2.2000000000000002</c:v>
                </c:pt>
                <c:pt idx="3">
                  <c:v>1.2</c:v>
                </c:pt>
                <c:pt idx="4">
                  <c:v>1</c:v>
                </c:pt>
                <c:pt idx="5">
                  <c:v>0.9</c:v>
                </c:pt>
              </c:numCache>
            </c:numRef>
          </c:val>
        </c:ser>
        <c:ser>
          <c:idx val="3"/>
          <c:order val="3"/>
          <c:tx>
            <c:v>2015</c:v>
          </c:tx>
          <c:spPr>
            <a:solidFill>
              <a:schemeClr val="tx1"/>
            </a:solidFill>
            <a:ln>
              <a:solidFill>
                <a:schemeClr val="tx1"/>
              </a:solidFill>
            </a:ln>
          </c:spPr>
          <c:invertIfNegative val="0"/>
          <c:cat>
            <c:strRef>
              <c:f>Sheet1!$B$6:$G$6</c:f>
              <c:strCache>
                <c:ptCount val="6"/>
                <c:pt idx="0">
                  <c:v>Jan</c:v>
                </c:pt>
                <c:pt idx="1">
                  <c:v>Mar</c:v>
                </c:pt>
                <c:pt idx="2">
                  <c:v>May</c:v>
                </c:pt>
                <c:pt idx="3">
                  <c:v>jul</c:v>
                </c:pt>
                <c:pt idx="4">
                  <c:v>Sep</c:v>
                </c:pt>
                <c:pt idx="5">
                  <c:v>Nov</c:v>
                </c:pt>
              </c:strCache>
            </c:strRef>
          </c:cat>
          <c:val>
            <c:numRef>
              <c:f>Sheet1!$B$10:$G$10</c:f>
              <c:numCache>
                <c:formatCode>General</c:formatCode>
                <c:ptCount val="6"/>
                <c:pt idx="0">
                  <c:v>0.1</c:v>
                </c:pt>
                <c:pt idx="1">
                  <c:v>0.05</c:v>
                </c:pt>
                <c:pt idx="2">
                  <c:v>0.1</c:v>
                </c:pt>
              </c:numCache>
            </c:numRef>
          </c:val>
        </c:ser>
        <c:dLbls>
          <c:showLegendKey val="0"/>
          <c:showVal val="0"/>
          <c:showCatName val="0"/>
          <c:showSerName val="0"/>
          <c:showPercent val="0"/>
          <c:showBubbleSize val="0"/>
        </c:dLbls>
        <c:gapWidth val="150"/>
        <c:axId val="37914112"/>
        <c:axId val="37915648"/>
      </c:barChart>
      <c:catAx>
        <c:axId val="37914112"/>
        <c:scaling>
          <c:orientation val="minMax"/>
        </c:scaling>
        <c:delete val="0"/>
        <c:axPos val="b"/>
        <c:majorTickMark val="out"/>
        <c:minorTickMark val="none"/>
        <c:tickLblPos val="nextTo"/>
        <c:crossAx val="37915648"/>
        <c:crosses val="autoZero"/>
        <c:auto val="1"/>
        <c:lblAlgn val="ctr"/>
        <c:lblOffset val="100"/>
        <c:noMultiLvlLbl val="0"/>
      </c:catAx>
      <c:valAx>
        <c:axId val="37915648"/>
        <c:scaling>
          <c:orientation val="minMax"/>
        </c:scaling>
        <c:delete val="0"/>
        <c:axPos val="l"/>
        <c:majorGridlines/>
        <c:numFmt formatCode="General" sourceLinked="1"/>
        <c:majorTickMark val="out"/>
        <c:minorTickMark val="none"/>
        <c:tickLblPos val="nextTo"/>
        <c:crossAx val="37914112"/>
        <c:crosses val="autoZero"/>
        <c:crossBetween val="between"/>
      </c:valAx>
      <c:spPr>
        <a:solidFill>
          <a:schemeClr val="bg1">
            <a:lumMod val="95000"/>
          </a:schemeClr>
        </a:solidFill>
        <a:ln>
          <a:solidFill>
            <a:schemeClr val="tx1"/>
          </a:solidFill>
        </a:ln>
      </c:spPr>
    </c:plotArea>
    <c:legend>
      <c:legendPos val="b"/>
      <c:overlay val="0"/>
    </c:legend>
    <c:plotVisOnly val="1"/>
    <c:dispBlanksAs val="gap"/>
    <c:showDLblsOverMax val="0"/>
  </c:chart>
  <c:txPr>
    <a:bodyPr/>
    <a:lstStyle/>
    <a:p>
      <a:pPr>
        <a:defRPr sz="1050">
          <a:latin typeface="Tahoma" pitchFamily="34" charset="0"/>
          <a:ea typeface="Tahoma" pitchFamily="34" charset="0"/>
          <a:cs typeface="Tahoma" pitchFamily="34"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a:pPr>
            <a:r>
              <a:rPr lang="en-US" sz="1050" b="0"/>
              <a:t>Figure 20</a:t>
            </a:r>
          </a:p>
          <a:p>
            <a:pPr>
              <a:defRPr sz="1050" b="0"/>
            </a:pPr>
            <a:r>
              <a:rPr lang="en-US" sz="1050" b="0"/>
              <a:t>Median Price of Waco MLS Single Family Home Sales</a:t>
            </a:r>
          </a:p>
        </c:rich>
      </c:tx>
      <c:overlay val="0"/>
    </c:title>
    <c:autoTitleDeleted val="0"/>
    <c:plotArea>
      <c:layout>
        <c:manualLayout>
          <c:layoutTarget val="inner"/>
          <c:xMode val="edge"/>
          <c:yMode val="edge"/>
          <c:x val="0.11721806699783385"/>
          <c:y val="0.20122637102680993"/>
          <c:w val="0.8435820522434696"/>
          <c:h val="0.56096873815191106"/>
        </c:manualLayout>
      </c:layout>
      <c:lineChart>
        <c:grouping val="standard"/>
        <c:varyColors val="0"/>
        <c:ser>
          <c:idx val="0"/>
          <c:order val="0"/>
          <c:tx>
            <c:strRef>
              <c:f>Sheet1!$E$1</c:f>
              <c:strCache>
                <c:ptCount val="1"/>
                <c:pt idx="0">
                  <c:v>Median </c:v>
                </c:pt>
              </c:strCache>
            </c:strRef>
          </c:tx>
          <c:spPr>
            <a:ln w="38100">
              <a:solidFill>
                <a:schemeClr val="tx2"/>
              </a:solidFill>
            </a:ln>
          </c:spPr>
          <c:marker>
            <c:symbol val="none"/>
          </c:marker>
          <c:cat>
            <c:strRef>
              <c:f>Sheet1!$A$2:$A$31</c:f>
              <c:strCache>
                <c:ptCount val="30"/>
                <c:pt idx="0">
                  <c:v>2013-Jan</c:v>
                </c:pt>
                <c:pt idx="1">
                  <c:v>Feb</c:v>
                </c:pt>
                <c:pt idx="2">
                  <c:v>Mar</c:v>
                </c:pt>
                <c:pt idx="3">
                  <c:v>Apr</c:v>
                </c:pt>
                <c:pt idx="4">
                  <c:v>May</c:v>
                </c:pt>
                <c:pt idx="5">
                  <c:v>Jun</c:v>
                </c:pt>
                <c:pt idx="6">
                  <c:v>Jul</c:v>
                </c:pt>
                <c:pt idx="7">
                  <c:v>Aug</c:v>
                </c:pt>
                <c:pt idx="8">
                  <c:v>Sep</c:v>
                </c:pt>
                <c:pt idx="9">
                  <c:v>Oct</c:v>
                </c:pt>
                <c:pt idx="10">
                  <c:v>Nov</c:v>
                </c:pt>
                <c:pt idx="11">
                  <c:v>Dec</c:v>
                </c:pt>
                <c:pt idx="12">
                  <c:v>2014-Jan</c:v>
                </c:pt>
                <c:pt idx="13">
                  <c:v>Feb</c:v>
                </c:pt>
                <c:pt idx="14">
                  <c:v>Mar</c:v>
                </c:pt>
                <c:pt idx="15">
                  <c:v>Apr</c:v>
                </c:pt>
                <c:pt idx="16">
                  <c:v>May</c:v>
                </c:pt>
                <c:pt idx="17">
                  <c:v>Jun</c:v>
                </c:pt>
                <c:pt idx="18">
                  <c:v>Jul</c:v>
                </c:pt>
                <c:pt idx="19">
                  <c:v>Aug</c:v>
                </c:pt>
                <c:pt idx="20">
                  <c:v>Sep</c:v>
                </c:pt>
                <c:pt idx="21">
                  <c:v>Oct</c:v>
                </c:pt>
                <c:pt idx="22">
                  <c:v>Nov</c:v>
                </c:pt>
                <c:pt idx="23">
                  <c:v>Dec</c:v>
                </c:pt>
                <c:pt idx="24">
                  <c:v>2015-Jan</c:v>
                </c:pt>
                <c:pt idx="25">
                  <c:v>Feb</c:v>
                </c:pt>
                <c:pt idx="26">
                  <c:v>Mar</c:v>
                </c:pt>
                <c:pt idx="27">
                  <c:v>Apr</c:v>
                </c:pt>
                <c:pt idx="28">
                  <c:v>May</c:v>
                </c:pt>
                <c:pt idx="29">
                  <c:v>Jun</c:v>
                </c:pt>
              </c:strCache>
            </c:strRef>
          </c:cat>
          <c:val>
            <c:numRef>
              <c:f>Sheet1!$E$2:$E$31</c:f>
              <c:numCache>
                <c:formatCode>#,##0</c:formatCode>
                <c:ptCount val="30"/>
                <c:pt idx="0">
                  <c:v>122500</c:v>
                </c:pt>
                <c:pt idx="1">
                  <c:v>120400</c:v>
                </c:pt>
                <c:pt idx="2">
                  <c:v>121900</c:v>
                </c:pt>
                <c:pt idx="3">
                  <c:v>105000</c:v>
                </c:pt>
                <c:pt idx="4">
                  <c:v>136500</c:v>
                </c:pt>
                <c:pt idx="5">
                  <c:v>135300</c:v>
                </c:pt>
                <c:pt idx="6">
                  <c:v>131100</c:v>
                </c:pt>
                <c:pt idx="7">
                  <c:v>133800</c:v>
                </c:pt>
                <c:pt idx="8">
                  <c:v>114600</c:v>
                </c:pt>
                <c:pt idx="9">
                  <c:v>132100</c:v>
                </c:pt>
                <c:pt idx="10">
                  <c:v>117400</c:v>
                </c:pt>
                <c:pt idx="11">
                  <c:v>135000</c:v>
                </c:pt>
                <c:pt idx="12">
                  <c:v>113200</c:v>
                </c:pt>
                <c:pt idx="13">
                  <c:v>116200</c:v>
                </c:pt>
                <c:pt idx="14">
                  <c:v>120900</c:v>
                </c:pt>
                <c:pt idx="15">
                  <c:v>121000</c:v>
                </c:pt>
                <c:pt idx="16">
                  <c:v>134200</c:v>
                </c:pt>
                <c:pt idx="17">
                  <c:v>136200</c:v>
                </c:pt>
                <c:pt idx="18">
                  <c:v>134900</c:v>
                </c:pt>
                <c:pt idx="19">
                  <c:v>137800</c:v>
                </c:pt>
                <c:pt idx="20">
                  <c:v>137500</c:v>
                </c:pt>
                <c:pt idx="21">
                  <c:v>131800</c:v>
                </c:pt>
                <c:pt idx="22">
                  <c:v>137100</c:v>
                </c:pt>
                <c:pt idx="23">
                  <c:v>141800</c:v>
                </c:pt>
                <c:pt idx="24">
                  <c:v>137500</c:v>
                </c:pt>
                <c:pt idx="25">
                  <c:v>141900</c:v>
                </c:pt>
                <c:pt idx="26">
                  <c:v>142000</c:v>
                </c:pt>
                <c:pt idx="27">
                  <c:v>146300</c:v>
                </c:pt>
                <c:pt idx="28">
                  <c:v>151700</c:v>
                </c:pt>
                <c:pt idx="29">
                  <c:v>151800</c:v>
                </c:pt>
              </c:numCache>
            </c:numRef>
          </c:val>
          <c:smooth val="0"/>
        </c:ser>
        <c:dLbls>
          <c:showLegendKey val="0"/>
          <c:showVal val="0"/>
          <c:showCatName val="0"/>
          <c:showSerName val="0"/>
          <c:showPercent val="0"/>
          <c:showBubbleSize val="0"/>
        </c:dLbls>
        <c:marker val="1"/>
        <c:smooth val="0"/>
        <c:axId val="40281600"/>
        <c:axId val="40283136"/>
      </c:lineChart>
      <c:catAx>
        <c:axId val="40281600"/>
        <c:scaling>
          <c:orientation val="minMax"/>
        </c:scaling>
        <c:delete val="0"/>
        <c:axPos val="b"/>
        <c:majorTickMark val="out"/>
        <c:minorTickMark val="none"/>
        <c:tickLblPos val="nextTo"/>
        <c:txPr>
          <a:bodyPr/>
          <a:lstStyle/>
          <a:p>
            <a:pPr>
              <a:defRPr sz="1000"/>
            </a:pPr>
            <a:endParaRPr lang="en-US"/>
          </a:p>
        </c:txPr>
        <c:crossAx val="40283136"/>
        <c:crosses val="autoZero"/>
        <c:auto val="1"/>
        <c:lblAlgn val="ctr"/>
        <c:lblOffset val="100"/>
        <c:noMultiLvlLbl val="0"/>
      </c:catAx>
      <c:valAx>
        <c:axId val="40283136"/>
        <c:scaling>
          <c:orientation val="minMax"/>
        </c:scaling>
        <c:delete val="0"/>
        <c:axPos val="l"/>
        <c:majorGridlines/>
        <c:numFmt formatCode="#,##0" sourceLinked="1"/>
        <c:majorTickMark val="out"/>
        <c:minorTickMark val="none"/>
        <c:tickLblPos val="nextTo"/>
        <c:crossAx val="40281600"/>
        <c:crosses val="autoZero"/>
        <c:crossBetween val="between"/>
      </c:valAx>
      <c:spPr>
        <a:solidFill>
          <a:schemeClr val="bg1">
            <a:lumMod val="95000"/>
          </a:schemeClr>
        </a:solidFill>
        <a:ln>
          <a:solidFill>
            <a:schemeClr val="tx1"/>
          </a:solidFill>
        </a:ln>
      </c:spPr>
    </c:plotArea>
    <c:plotVisOnly val="1"/>
    <c:dispBlanksAs val="gap"/>
    <c:showDLblsOverMax val="0"/>
  </c:chart>
  <c:txPr>
    <a:bodyPr/>
    <a:lstStyle/>
    <a:p>
      <a:pPr>
        <a:defRPr>
          <a:latin typeface="Tahoma" pitchFamily="34" charset="0"/>
          <a:ea typeface="Tahoma" pitchFamily="34" charset="0"/>
          <a:cs typeface="Tahoma" pitchFamily="34"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0"/>
              <a:t>Figure 21</a:t>
            </a:r>
          </a:p>
          <a:p>
            <a:pPr>
              <a:defRPr sz="1200" b="0"/>
            </a:pPr>
            <a:r>
              <a:rPr lang="en-US" sz="1200" b="0"/>
              <a:t>Waco MSA Single Family Housing</a:t>
            </a:r>
            <a:r>
              <a:rPr lang="en-US" sz="1200" b="0" baseline="0"/>
              <a:t> Building Permits</a:t>
            </a:r>
            <a:endParaRPr lang="en-US" sz="1200" b="0"/>
          </a:p>
        </c:rich>
      </c:tx>
      <c:overlay val="0"/>
    </c:title>
    <c:autoTitleDeleted val="0"/>
    <c:plotArea>
      <c:layout/>
      <c:barChart>
        <c:barDir val="col"/>
        <c:grouping val="clustered"/>
        <c:varyColors val="0"/>
        <c:ser>
          <c:idx val="0"/>
          <c:order val="0"/>
          <c:tx>
            <c:v>2013</c:v>
          </c:tx>
          <c:spPr>
            <a:solidFill>
              <a:schemeClr val="tx2"/>
            </a:solidFill>
            <a:ln>
              <a:solidFill>
                <a:schemeClr val="tx1"/>
              </a:solidFill>
            </a:ln>
          </c:spPr>
          <c:invertIfNegative val="0"/>
          <c:cat>
            <c:strRef>
              <c:f>Sheet2!$A$2:$A$13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Sheet2!$B$2:$B$13</c:f>
              <c:numCache>
                <c:formatCode>General</c:formatCode>
                <c:ptCount val="12"/>
                <c:pt idx="0">
                  <c:v>13</c:v>
                </c:pt>
                <c:pt idx="1">
                  <c:v>57</c:v>
                </c:pt>
                <c:pt idx="2">
                  <c:v>45</c:v>
                </c:pt>
                <c:pt idx="3">
                  <c:v>44</c:v>
                </c:pt>
                <c:pt idx="4">
                  <c:v>51</c:v>
                </c:pt>
                <c:pt idx="5">
                  <c:v>42</c:v>
                </c:pt>
                <c:pt idx="6">
                  <c:v>34</c:v>
                </c:pt>
                <c:pt idx="7">
                  <c:v>23</c:v>
                </c:pt>
                <c:pt idx="8">
                  <c:v>44</c:v>
                </c:pt>
                <c:pt idx="9">
                  <c:v>24</c:v>
                </c:pt>
                <c:pt idx="10">
                  <c:v>21</c:v>
                </c:pt>
                <c:pt idx="11">
                  <c:v>14</c:v>
                </c:pt>
              </c:numCache>
            </c:numRef>
          </c:val>
        </c:ser>
        <c:ser>
          <c:idx val="1"/>
          <c:order val="1"/>
          <c:tx>
            <c:v>2014</c:v>
          </c:tx>
          <c:spPr>
            <a:solidFill>
              <a:srgbClr val="C00000"/>
            </a:solidFill>
            <a:ln>
              <a:solidFill>
                <a:schemeClr val="tx1"/>
              </a:solidFill>
            </a:ln>
          </c:spPr>
          <c:invertIfNegative val="0"/>
          <c:cat>
            <c:strRef>
              <c:f>Sheet2!$A$2:$A$13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Sheet2!$C$2:$C$13</c:f>
              <c:numCache>
                <c:formatCode>General</c:formatCode>
                <c:ptCount val="12"/>
                <c:pt idx="0">
                  <c:v>45</c:v>
                </c:pt>
                <c:pt idx="1">
                  <c:v>23</c:v>
                </c:pt>
                <c:pt idx="2">
                  <c:v>45</c:v>
                </c:pt>
                <c:pt idx="3">
                  <c:v>22</c:v>
                </c:pt>
                <c:pt idx="4">
                  <c:v>40</c:v>
                </c:pt>
                <c:pt idx="5">
                  <c:v>18</c:v>
                </c:pt>
                <c:pt idx="6">
                  <c:v>26</c:v>
                </c:pt>
                <c:pt idx="7">
                  <c:v>25</c:v>
                </c:pt>
                <c:pt idx="8">
                  <c:v>47</c:v>
                </c:pt>
                <c:pt idx="9">
                  <c:v>61</c:v>
                </c:pt>
                <c:pt idx="10">
                  <c:v>20</c:v>
                </c:pt>
                <c:pt idx="11">
                  <c:v>34</c:v>
                </c:pt>
              </c:numCache>
            </c:numRef>
          </c:val>
        </c:ser>
        <c:ser>
          <c:idx val="2"/>
          <c:order val="2"/>
          <c:tx>
            <c:v>2015</c:v>
          </c:tx>
          <c:spPr>
            <a:solidFill>
              <a:srgbClr val="00B050"/>
            </a:solidFill>
            <a:ln>
              <a:solidFill>
                <a:schemeClr val="tx1"/>
              </a:solidFill>
            </a:ln>
          </c:spPr>
          <c:invertIfNegative val="0"/>
          <c:cat>
            <c:strRef>
              <c:f>Sheet2!$A$2:$A$13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Sheet2!$D$2:$D$13</c:f>
              <c:numCache>
                <c:formatCode>General</c:formatCode>
                <c:ptCount val="12"/>
                <c:pt idx="0">
                  <c:v>40</c:v>
                </c:pt>
                <c:pt idx="1">
                  <c:v>32</c:v>
                </c:pt>
                <c:pt idx="2">
                  <c:v>42</c:v>
                </c:pt>
                <c:pt idx="3">
                  <c:v>45</c:v>
                </c:pt>
                <c:pt idx="4">
                  <c:v>29</c:v>
                </c:pt>
                <c:pt idx="5">
                  <c:v>36</c:v>
                </c:pt>
              </c:numCache>
            </c:numRef>
          </c:val>
        </c:ser>
        <c:dLbls>
          <c:showLegendKey val="0"/>
          <c:showVal val="0"/>
          <c:showCatName val="0"/>
          <c:showSerName val="0"/>
          <c:showPercent val="0"/>
          <c:showBubbleSize val="0"/>
        </c:dLbls>
        <c:gapWidth val="150"/>
        <c:axId val="41951232"/>
        <c:axId val="41952768"/>
      </c:barChart>
      <c:catAx>
        <c:axId val="41951232"/>
        <c:scaling>
          <c:orientation val="minMax"/>
        </c:scaling>
        <c:delete val="0"/>
        <c:axPos val="b"/>
        <c:majorTickMark val="out"/>
        <c:minorTickMark val="none"/>
        <c:tickLblPos val="nextTo"/>
        <c:crossAx val="41952768"/>
        <c:crosses val="autoZero"/>
        <c:auto val="1"/>
        <c:lblAlgn val="ctr"/>
        <c:lblOffset val="100"/>
        <c:noMultiLvlLbl val="0"/>
      </c:catAx>
      <c:valAx>
        <c:axId val="41952768"/>
        <c:scaling>
          <c:orientation val="minMax"/>
        </c:scaling>
        <c:delete val="0"/>
        <c:axPos val="l"/>
        <c:majorGridlines/>
        <c:numFmt formatCode="General" sourceLinked="1"/>
        <c:majorTickMark val="out"/>
        <c:minorTickMark val="none"/>
        <c:tickLblPos val="nextTo"/>
        <c:crossAx val="41951232"/>
        <c:crosses val="autoZero"/>
        <c:crossBetween val="between"/>
      </c:valAx>
      <c:spPr>
        <a:solidFill>
          <a:schemeClr val="bg1">
            <a:lumMod val="95000"/>
          </a:schemeClr>
        </a:solidFill>
      </c:spPr>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0"/>
              <a:t>Figure 22</a:t>
            </a:r>
          </a:p>
          <a:p>
            <a:pPr>
              <a:defRPr sz="1200"/>
            </a:pPr>
            <a:r>
              <a:rPr lang="en-US" sz="1200" b="0"/>
              <a:t>Waco MSA vs. </a:t>
            </a:r>
            <a:r>
              <a:rPr lang="en-US" sz="1200" b="0" baseline="0"/>
              <a:t>U.S. Metro Area Index of Personal Income per Capita, 1969=100</a:t>
            </a:r>
          </a:p>
        </c:rich>
      </c:tx>
      <c:overlay val="0"/>
    </c:title>
    <c:autoTitleDeleted val="0"/>
    <c:plotArea>
      <c:layout>
        <c:manualLayout>
          <c:layoutTarget val="inner"/>
          <c:xMode val="edge"/>
          <c:yMode val="edge"/>
          <c:x val="8.9562930924341366E-2"/>
          <c:y val="0.31344634261706683"/>
          <c:w val="0.87990213289606545"/>
          <c:h val="0.53251259789232863"/>
        </c:manualLayout>
      </c:layout>
      <c:lineChart>
        <c:grouping val="standard"/>
        <c:varyColors val="0"/>
        <c:ser>
          <c:idx val="0"/>
          <c:order val="0"/>
          <c:tx>
            <c:strRef>
              <c:f>Sheet1!$B$24</c:f>
              <c:strCache>
                <c:ptCount val="1"/>
                <c:pt idx="0">
                  <c:v>USA</c:v>
                </c:pt>
              </c:strCache>
            </c:strRef>
          </c:tx>
          <c:spPr>
            <a:ln w="38100">
              <a:solidFill>
                <a:schemeClr val="tx2"/>
              </a:solidFill>
              <a:prstDash val="solid"/>
            </a:ln>
          </c:spPr>
          <c:marker>
            <c:symbol val="none"/>
          </c:marker>
          <c:cat>
            <c:strRef>
              <c:f>Sheet1!$A$25:$A$48</c:f>
              <c:strCach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strCache>
            </c:strRef>
          </c:cat>
          <c:val>
            <c:numRef>
              <c:f>Sheet1!$B$25:$B$48</c:f>
              <c:numCache>
                <c:formatCode>General</c:formatCode>
                <c:ptCount val="24"/>
                <c:pt idx="0">
                  <c:v>495.8</c:v>
                </c:pt>
                <c:pt idx="1">
                  <c:v>504.8</c:v>
                </c:pt>
                <c:pt idx="2">
                  <c:v>531</c:v>
                </c:pt>
                <c:pt idx="3">
                  <c:v>546.79999999999995</c:v>
                </c:pt>
                <c:pt idx="4">
                  <c:v>567.1</c:v>
                </c:pt>
                <c:pt idx="5">
                  <c:v>594</c:v>
                </c:pt>
                <c:pt idx="6">
                  <c:v>622.6</c:v>
                </c:pt>
                <c:pt idx="7">
                  <c:v>653.6</c:v>
                </c:pt>
                <c:pt idx="8">
                  <c:v>693.9</c:v>
                </c:pt>
                <c:pt idx="9">
                  <c:v>722.9</c:v>
                </c:pt>
                <c:pt idx="10">
                  <c:v>773.9</c:v>
                </c:pt>
                <c:pt idx="11">
                  <c:v>796.1</c:v>
                </c:pt>
                <c:pt idx="12">
                  <c:v>802.5</c:v>
                </c:pt>
                <c:pt idx="13">
                  <c:v>822.9</c:v>
                </c:pt>
                <c:pt idx="14">
                  <c:v>863.1</c:v>
                </c:pt>
                <c:pt idx="15">
                  <c:v>903.9</c:v>
                </c:pt>
                <c:pt idx="16">
                  <c:v>962.3</c:v>
                </c:pt>
                <c:pt idx="17">
                  <c:v>1002.8</c:v>
                </c:pt>
                <c:pt idx="18">
                  <c:v>1025.8</c:v>
                </c:pt>
                <c:pt idx="19">
                  <c:v>985.4</c:v>
                </c:pt>
                <c:pt idx="20">
                  <c:v>1003.5</c:v>
                </c:pt>
                <c:pt idx="21">
                  <c:v>1056.3</c:v>
                </c:pt>
                <c:pt idx="22">
                  <c:v>1102.4000000000001</c:v>
                </c:pt>
                <c:pt idx="23">
                  <c:v>1114.8</c:v>
                </c:pt>
              </c:numCache>
            </c:numRef>
          </c:val>
          <c:smooth val="0"/>
        </c:ser>
        <c:ser>
          <c:idx val="1"/>
          <c:order val="1"/>
          <c:tx>
            <c:strRef>
              <c:f>Sheet1!$C$24</c:f>
              <c:strCache>
                <c:ptCount val="1"/>
                <c:pt idx="0">
                  <c:v>Waco MSA</c:v>
                </c:pt>
              </c:strCache>
            </c:strRef>
          </c:tx>
          <c:spPr>
            <a:ln w="38100">
              <a:solidFill>
                <a:srgbClr val="00B050"/>
              </a:solidFill>
            </a:ln>
          </c:spPr>
          <c:marker>
            <c:symbol val="none"/>
          </c:marker>
          <c:cat>
            <c:strRef>
              <c:f>Sheet1!$A$25:$A$48</c:f>
              <c:strCach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strCache>
            </c:strRef>
          </c:cat>
          <c:val>
            <c:numRef>
              <c:f>Sheet1!$C$25:$C$48</c:f>
              <c:numCache>
                <c:formatCode>General</c:formatCode>
                <c:ptCount val="24"/>
                <c:pt idx="0">
                  <c:v>482.1</c:v>
                </c:pt>
                <c:pt idx="1">
                  <c:v>506.1</c:v>
                </c:pt>
                <c:pt idx="2">
                  <c:v>530</c:v>
                </c:pt>
                <c:pt idx="3">
                  <c:v>554.6</c:v>
                </c:pt>
                <c:pt idx="4">
                  <c:v>581.79999999999995</c:v>
                </c:pt>
                <c:pt idx="5">
                  <c:v>617.5</c:v>
                </c:pt>
                <c:pt idx="6">
                  <c:v>634.70000000000005</c:v>
                </c:pt>
                <c:pt idx="7">
                  <c:v>667</c:v>
                </c:pt>
                <c:pt idx="8">
                  <c:v>699.4</c:v>
                </c:pt>
                <c:pt idx="9">
                  <c:v>730.4</c:v>
                </c:pt>
                <c:pt idx="10">
                  <c:v>755.1</c:v>
                </c:pt>
                <c:pt idx="11">
                  <c:v>769.7</c:v>
                </c:pt>
                <c:pt idx="12">
                  <c:v>789.4</c:v>
                </c:pt>
                <c:pt idx="13">
                  <c:v>833.4</c:v>
                </c:pt>
                <c:pt idx="14">
                  <c:v>846.7</c:v>
                </c:pt>
                <c:pt idx="15">
                  <c:v>903.5</c:v>
                </c:pt>
                <c:pt idx="16">
                  <c:v>949.8</c:v>
                </c:pt>
                <c:pt idx="17">
                  <c:v>995.3</c:v>
                </c:pt>
                <c:pt idx="18">
                  <c:v>1038.2</c:v>
                </c:pt>
                <c:pt idx="19">
                  <c:v>1045.8</c:v>
                </c:pt>
                <c:pt idx="20">
                  <c:v>1082.5999999999999</c:v>
                </c:pt>
                <c:pt idx="21">
                  <c:v>1113.9000000000001</c:v>
                </c:pt>
                <c:pt idx="22">
                  <c:v>1171</c:v>
                </c:pt>
                <c:pt idx="23">
                  <c:v>1183.2</c:v>
                </c:pt>
              </c:numCache>
            </c:numRef>
          </c:val>
          <c:smooth val="0"/>
        </c:ser>
        <c:dLbls>
          <c:showLegendKey val="0"/>
          <c:showVal val="0"/>
          <c:showCatName val="0"/>
          <c:showSerName val="0"/>
          <c:showPercent val="0"/>
          <c:showBubbleSize val="0"/>
        </c:dLbls>
        <c:marker val="1"/>
        <c:smooth val="0"/>
        <c:axId val="41978880"/>
        <c:axId val="41980672"/>
      </c:lineChart>
      <c:catAx>
        <c:axId val="41978880"/>
        <c:scaling>
          <c:orientation val="minMax"/>
        </c:scaling>
        <c:delete val="0"/>
        <c:axPos val="b"/>
        <c:majorTickMark val="out"/>
        <c:minorTickMark val="none"/>
        <c:tickLblPos val="nextTo"/>
        <c:txPr>
          <a:bodyPr/>
          <a:lstStyle/>
          <a:p>
            <a:pPr>
              <a:defRPr sz="900"/>
            </a:pPr>
            <a:endParaRPr lang="en-US"/>
          </a:p>
        </c:txPr>
        <c:crossAx val="41980672"/>
        <c:crosses val="autoZero"/>
        <c:auto val="1"/>
        <c:lblAlgn val="ctr"/>
        <c:lblOffset val="100"/>
        <c:noMultiLvlLbl val="0"/>
      </c:catAx>
      <c:valAx>
        <c:axId val="41980672"/>
        <c:scaling>
          <c:orientation val="minMax"/>
        </c:scaling>
        <c:delete val="0"/>
        <c:axPos val="l"/>
        <c:majorGridlines/>
        <c:numFmt formatCode="General" sourceLinked="1"/>
        <c:majorTickMark val="out"/>
        <c:minorTickMark val="none"/>
        <c:tickLblPos val="nextTo"/>
        <c:crossAx val="41978880"/>
        <c:crosses val="autoZero"/>
        <c:crossBetween val="between"/>
      </c:valAx>
      <c:spPr>
        <a:solidFill>
          <a:schemeClr val="bg1">
            <a:lumMod val="95000"/>
          </a:schemeClr>
        </a:solidFill>
      </c:spPr>
    </c:plotArea>
    <c:legend>
      <c:legendPos val="b"/>
      <c:layout>
        <c:manualLayout>
          <c:xMode val="edge"/>
          <c:yMode val="edge"/>
          <c:x val="0.32859403297383699"/>
          <c:y val="0.2223157396844829"/>
          <c:w val="0.35492621209705499"/>
          <c:h val="8.7041257886565582E-2"/>
        </c:manualLayout>
      </c:layout>
      <c:overlay val="0"/>
      <c:txPr>
        <a:bodyPr/>
        <a:lstStyle/>
        <a:p>
          <a:pPr>
            <a:defRPr sz="1100"/>
          </a:pPr>
          <a:endParaRPr lang="en-US"/>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0"/>
              <a:t>Figure  23</a:t>
            </a:r>
          </a:p>
          <a:p>
            <a:pPr>
              <a:defRPr sz="1200" b="0"/>
            </a:pPr>
            <a:r>
              <a:rPr lang="en-US" sz="1200" b="0"/>
              <a:t> Index of Real </a:t>
            </a:r>
            <a:r>
              <a:rPr lang="en-US" sz="1200" b="0" baseline="0"/>
              <a:t> GDP in Waco MSA  vs. U.S. Metro Areas, 2001=100</a:t>
            </a:r>
            <a:endParaRPr lang="en-US" sz="1200" b="0"/>
          </a:p>
        </c:rich>
      </c:tx>
      <c:overlay val="0"/>
    </c:title>
    <c:autoTitleDeleted val="0"/>
    <c:plotArea>
      <c:layout>
        <c:manualLayout>
          <c:layoutTarget val="inner"/>
          <c:xMode val="edge"/>
          <c:yMode val="edge"/>
          <c:x val="8.1685162666819133E-2"/>
          <c:y val="0.27824373384460127"/>
          <c:w val="0.89334536927892783"/>
          <c:h val="0.60225219372330929"/>
        </c:manualLayout>
      </c:layout>
      <c:lineChart>
        <c:grouping val="standard"/>
        <c:varyColors val="0"/>
        <c:ser>
          <c:idx val="0"/>
          <c:order val="0"/>
          <c:tx>
            <c:strRef>
              <c:f>Sheet1!$S$1</c:f>
              <c:strCache>
                <c:ptCount val="1"/>
                <c:pt idx="0">
                  <c:v>USA</c:v>
                </c:pt>
              </c:strCache>
            </c:strRef>
          </c:tx>
          <c:spPr>
            <a:ln w="38100">
              <a:solidFill>
                <a:schemeClr val="tx2"/>
              </a:solidFill>
              <a:prstDash val="solid"/>
            </a:ln>
          </c:spPr>
          <c:marker>
            <c:symbol val="none"/>
          </c:marker>
          <c:cat>
            <c:strRef>
              <c:f>Sheet1!$A$2:$A$14</c:f>
              <c:strCach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strCache>
            </c:strRef>
          </c:cat>
          <c:val>
            <c:numRef>
              <c:f>Sheet1!$S$2:$S$14</c:f>
              <c:numCache>
                <c:formatCode>General</c:formatCode>
                <c:ptCount val="13"/>
                <c:pt idx="0">
                  <c:v>100</c:v>
                </c:pt>
                <c:pt idx="1">
                  <c:v>101.83321656344174</c:v>
                </c:pt>
                <c:pt idx="2">
                  <c:v>104.36338871104662</c:v>
                </c:pt>
                <c:pt idx="3">
                  <c:v>108.01299276887035</c:v>
                </c:pt>
                <c:pt idx="4">
                  <c:v>111.66952593387258</c:v>
                </c:pt>
                <c:pt idx="5">
                  <c:v>114.73849679429186</c:v>
                </c:pt>
                <c:pt idx="6">
                  <c:v>116.56844801597575</c:v>
                </c:pt>
                <c:pt idx="7">
                  <c:v>115.75181808945634</c:v>
                </c:pt>
                <c:pt idx="8">
                  <c:v>112.55153198662093</c:v>
                </c:pt>
                <c:pt idx="9">
                  <c:v>114.92637087405231</c:v>
                </c:pt>
                <c:pt idx="10">
                  <c:v>116.70612937561209</c:v>
                </c:pt>
                <c:pt idx="11">
                  <c:v>119.75372394038577</c:v>
                </c:pt>
                <c:pt idx="12">
                  <c:v>121.78335470818541</c:v>
                </c:pt>
              </c:numCache>
            </c:numRef>
          </c:val>
          <c:smooth val="0"/>
        </c:ser>
        <c:ser>
          <c:idx val="1"/>
          <c:order val="1"/>
          <c:tx>
            <c:strRef>
              <c:f>Sheet1!$T$1</c:f>
              <c:strCache>
                <c:ptCount val="1"/>
                <c:pt idx="0">
                  <c:v>Waco MSA</c:v>
                </c:pt>
              </c:strCache>
            </c:strRef>
          </c:tx>
          <c:spPr>
            <a:ln w="38100">
              <a:solidFill>
                <a:srgbClr val="00B050"/>
              </a:solidFill>
            </a:ln>
          </c:spPr>
          <c:marker>
            <c:symbol val="none"/>
          </c:marker>
          <c:cat>
            <c:strRef>
              <c:f>Sheet1!$A$2:$A$14</c:f>
              <c:strCach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strCache>
            </c:strRef>
          </c:cat>
          <c:val>
            <c:numRef>
              <c:f>Sheet1!$T$2:$T$14</c:f>
              <c:numCache>
                <c:formatCode>General</c:formatCode>
                <c:ptCount val="13"/>
                <c:pt idx="0">
                  <c:v>100</c:v>
                </c:pt>
                <c:pt idx="1">
                  <c:v>101.75592625109746</c:v>
                </c:pt>
                <c:pt idx="2">
                  <c:v>108.00409716125256</c:v>
                </c:pt>
                <c:pt idx="3">
                  <c:v>113.00848697688031</c:v>
                </c:pt>
                <c:pt idx="4">
                  <c:v>116.54960491659349</c:v>
                </c:pt>
                <c:pt idx="5">
                  <c:v>120.07609013754757</c:v>
                </c:pt>
                <c:pt idx="6">
                  <c:v>121.75885279484928</c:v>
                </c:pt>
                <c:pt idx="7">
                  <c:v>122.92947029558093</c:v>
                </c:pt>
                <c:pt idx="8">
                  <c:v>123.38308457711442</c:v>
                </c:pt>
                <c:pt idx="9">
                  <c:v>130.64091308165058</c:v>
                </c:pt>
                <c:pt idx="10">
                  <c:v>128.34357623646474</c:v>
                </c:pt>
                <c:pt idx="11">
                  <c:v>133.01141352063212</c:v>
                </c:pt>
                <c:pt idx="12">
                  <c:v>135.45507755340941</c:v>
                </c:pt>
              </c:numCache>
            </c:numRef>
          </c:val>
          <c:smooth val="0"/>
        </c:ser>
        <c:dLbls>
          <c:showLegendKey val="0"/>
          <c:showVal val="0"/>
          <c:showCatName val="0"/>
          <c:showSerName val="0"/>
          <c:showPercent val="0"/>
          <c:showBubbleSize val="0"/>
        </c:dLbls>
        <c:marker val="1"/>
        <c:smooth val="0"/>
        <c:axId val="42013440"/>
        <c:axId val="42014976"/>
      </c:lineChart>
      <c:catAx>
        <c:axId val="42013440"/>
        <c:scaling>
          <c:orientation val="minMax"/>
        </c:scaling>
        <c:delete val="0"/>
        <c:axPos val="b"/>
        <c:numFmt formatCode="General" sourceLinked="1"/>
        <c:majorTickMark val="out"/>
        <c:minorTickMark val="none"/>
        <c:tickLblPos val="nextTo"/>
        <c:crossAx val="42014976"/>
        <c:crosses val="autoZero"/>
        <c:auto val="1"/>
        <c:lblAlgn val="ctr"/>
        <c:lblOffset val="100"/>
        <c:noMultiLvlLbl val="0"/>
      </c:catAx>
      <c:valAx>
        <c:axId val="42014976"/>
        <c:scaling>
          <c:orientation val="minMax"/>
        </c:scaling>
        <c:delete val="0"/>
        <c:axPos val="l"/>
        <c:majorGridlines/>
        <c:numFmt formatCode="General" sourceLinked="1"/>
        <c:majorTickMark val="out"/>
        <c:minorTickMark val="none"/>
        <c:tickLblPos val="nextTo"/>
        <c:crossAx val="42013440"/>
        <c:crosses val="autoZero"/>
        <c:crossBetween val="between"/>
      </c:valAx>
      <c:spPr>
        <a:solidFill>
          <a:schemeClr val="bg1">
            <a:lumMod val="95000"/>
          </a:schemeClr>
        </a:solidFill>
      </c:spPr>
    </c:plotArea>
    <c:legend>
      <c:legendPos val="t"/>
      <c:layout>
        <c:manualLayout>
          <c:xMode val="edge"/>
          <c:yMode val="edge"/>
          <c:x val="0.33768099705373061"/>
          <c:y val="0.17279488578779137"/>
          <c:w val="0.33825520797957492"/>
          <c:h val="9.0035496221812575E-2"/>
        </c:manualLayout>
      </c:layout>
      <c:overlay val="0"/>
      <c:spPr>
        <a:ln w="9525">
          <a:noFill/>
          <a:prstDash val="solid"/>
        </a:ln>
      </c:spPr>
      <c:txPr>
        <a:bodyPr/>
        <a:lstStyle/>
        <a:p>
          <a:pPr>
            <a:defRPr sz="1100"/>
          </a:pPr>
          <a:endParaRPr lang="en-US"/>
        </a:p>
      </c:txPr>
    </c:legend>
    <c:plotVisOnly val="1"/>
    <c:dispBlanksAs val="gap"/>
    <c:showDLblsOverMax val="0"/>
  </c:chart>
  <c:spPr>
    <a:ln w="3175">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0"/>
              <a:t>Figure 3</a:t>
            </a:r>
          </a:p>
          <a:p>
            <a:pPr>
              <a:defRPr sz="1200" b="0"/>
            </a:pPr>
            <a:r>
              <a:rPr lang="en-US" sz="1200" b="0"/>
              <a:t>Waco MSA Nonagricultural</a:t>
            </a:r>
            <a:r>
              <a:rPr lang="en-US" sz="1200" b="0" baseline="0"/>
              <a:t> Monthly Employment </a:t>
            </a:r>
            <a:endParaRPr lang="en-US" sz="1200" b="0"/>
          </a:p>
        </c:rich>
      </c:tx>
      <c:overlay val="0"/>
    </c:title>
    <c:autoTitleDeleted val="0"/>
    <c:plotArea>
      <c:layout>
        <c:manualLayout>
          <c:layoutTarget val="inner"/>
          <c:xMode val="edge"/>
          <c:yMode val="edge"/>
          <c:x val="8.8419800829561024E-2"/>
          <c:y val="0.33095107903178766"/>
          <c:w val="0.88637035018591592"/>
          <c:h val="0.55306904345290175"/>
        </c:manualLayout>
      </c:layout>
      <c:barChart>
        <c:barDir val="col"/>
        <c:grouping val="clustered"/>
        <c:varyColors val="0"/>
        <c:ser>
          <c:idx val="0"/>
          <c:order val="0"/>
          <c:tx>
            <c:v>2013</c:v>
          </c:tx>
          <c:spPr>
            <a:solidFill>
              <a:schemeClr val="tx2"/>
            </a:solidFill>
            <a:ln>
              <a:solidFill>
                <a:schemeClr val="tx2"/>
              </a:solidFill>
            </a:ln>
          </c:spPr>
          <c:invertIfNegative val="0"/>
          <c:cat>
            <c:strRef>
              <c:f>'[SeriesReport-20150812122815_13c283.xlsx]BLS Data Series'!$B$13:$M$13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'[SeriesReport-20150812122815_13c283.xlsx]BLS Data Series'!$B$22:$M$22</c:f>
              <c:numCache>
                <c:formatCode>#0.0</c:formatCode>
                <c:ptCount val="12"/>
                <c:pt idx="0">
                  <c:v>107.9</c:v>
                </c:pt>
                <c:pt idx="1">
                  <c:v>108.9</c:v>
                </c:pt>
                <c:pt idx="2">
                  <c:v>109.3</c:v>
                </c:pt>
                <c:pt idx="3">
                  <c:v>111</c:v>
                </c:pt>
                <c:pt idx="4">
                  <c:v>110.7</c:v>
                </c:pt>
                <c:pt idx="5">
                  <c:v>111.1</c:v>
                </c:pt>
                <c:pt idx="6">
                  <c:v>110.3</c:v>
                </c:pt>
                <c:pt idx="7">
                  <c:v>110.9</c:v>
                </c:pt>
                <c:pt idx="8">
                  <c:v>111.3</c:v>
                </c:pt>
                <c:pt idx="9">
                  <c:v>110.1</c:v>
                </c:pt>
                <c:pt idx="10">
                  <c:v>111.1</c:v>
                </c:pt>
                <c:pt idx="11">
                  <c:v>110.9</c:v>
                </c:pt>
              </c:numCache>
            </c:numRef>
          </c:val>
        </c:ser>
        <c:ser>
          <c:idx val="1"/>
          <c:order val="1"/>
          <c:tx>
            <c:v>2014</c:v>
          </c:tx>
          <c:spPr>
            <a:solidFill>
              <a:srgbClr val="FF0000"/>
            </a:solidFill>
            <a:ln>
              <a:solidFill>
                <a:schemeClr val="tx1"/>
              </a:solidFill>
            </a:ln>
          </c:spPr>
          <c:invertIfNegative val="0"/>
          <c:cat>
            <c:strRef>
              <c:f>'[SeriesReport-20150812122815_13c283.xlsx]BLS Data Series'!$B$13:$M$13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'[SeriesReport-20150812122815_13c283.xlsx]BLS Data Series'!$B$23:$M$23</c:f>
              <c:numCache>
                <c:formatCode>#0.0</c:formatCode>
                <c:ptCount val="12"/>
                <c:pt idx="0">
                  <c:v>109.4</c:v>
                </c:pt>
                <c:pt idx="1">
                  <c:v>109.9</c:v>
                </c:pt>
                <c:pt idx="2">
                  <c:v>110.4</c:v>
                </c:pt>
                <c:pt idx="3">
                  <c:v>111.4</c:v>
                </c:pt>
                <c:pt idx="4">
                  <c:v>111.9</c:v>
                </c:pt>
                <c:pt idx="5">
                  <c:v>112</c:v>
                </c:pt>
                <c:pt idx="6">
                  <c:v>112.1</c:v>
                </c:pt>
                <c:pt idx="7">
                  <c:v>112.5</c:v>
                </c:pt>
                <c:pt idx="8">
                  <c:v>112.6</c:v>
                </c:pt>
                <c:pt idx="9">
                  <c:v>112.1</c:v>
                </c:pt>
                <c:pt idx="10">
                  <c:v>112.2</c:v>
                </c:pt>
                <c:pt idx="11">
                  <c:v>112.7</c:v>
                </c:pt>
              </c:numCache>
            </c:numRef>
          </c:val>
        </c:ser>
        <c:ser>
          <c:idx val="2"/>
          <c:order val="2"/>
          <c:tx>
            <c:v>2015</c:v>
          </c:tx>
          <c:spPr>
            <a:solidFill>
              <a:srgbClr val="00B050"/>
            </a:solidFill>
            <a:ln>
              <a:solidFill>
                <a:schemeClr val="tx1"/>
              </a:solidFill>
            </a:ln>
          </c:spPr>
          <c:invertIfNegative val="0"/>
          <c:cat>
            <c:strRef>
              <c:f>'[SeriesReport-20150812122815_13c283.xlsx]BLS Data Series'!$B$13:$M$13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'[SeriesReport-20150812122815_13c283.xlsx]BLS Data Series'!$B$24:$M$24</c:f>
              <c:numCache>
                <c:formatCode>#0.0</c:formatCode>
                <c:ptCount val="12"/>
                <c:pt idx="0">
                  <c:v>112.4</c:v>
                </c:pt>
                <c:pt idx="1">
                  <c:v>113.1</c:v>
                </c:pt>
                <c:pt idx="2">
                  <c:v>112.3</c:v>
                </c:pt>
                <c:pt idx="3">
                  <c:v>112.9</c:v>
                </c:pt>
                <c:pt idx="4">
                  <c:v>112.9</c:v>
                </c:pt>
                <c:pt idx="5">
                  <c:v>113.3</c:v>
                </c:pt>
              </c:numCache>
            </c:numRef>
          </c:val>
        </c:ser>
        <c:dLbls>
          <c:showLegendKey val="0"/>
          <c:showVal val="0"/>
          <c:showCatName val="0"/>
          <c:showSerName val="0"/>
          <c:showPercent val="0"/>
          <c:showBubbleSize val="0"/>
        </c:dLbls>
        <c:gapWidth val="150"/>
        <c:axId val="37937920"/>
        <c:axId val="37939456"/>
      </c:barChart>
      <c:catAx>
        <c:axId val="37937920"/>
        <c:scaling>
          <c:orientation val="minMax"/>
        </c:scaling>
        <c:delete val="0"/>
        <c:axPos val="b"/>
        <c:majorTickMark val="out"/>
        <c:minorTickMark val="none"/>
        <c:tickLblPos val="nextTo"/>
        <c:crossAx val="37939456"/>
        <c:crosses val="autoZero"/>
        <c:auto val="1"/>
        <c:lblAlgn val="ctr"/>
        <c:lblOffset val="100"/>
        <c:noMultiLvlLbl val="0"/>
      </c:catAx>
      <c:valAx>
        <c:axId val="37939456"/>
        <c:scaling>
          <c:orientation val="minMax"/>
        </c:scaling>
        <c:delete val="0"/>
        <c:axPos val="l"/>
        <c:majorGridlines/>
        <c:numFmt formatCode="#0.0" sourceLinked="1"/>
        <c:majorTickMark val="out"/>
        <c:minorTickMark val="none"/>
        <c:tickLblPos val="nextTo"/>
        <c:crossAx val="37937920"/>
        <c:crosses val="autoZero"/>
        <c:crossBetween val="between"/>
      </c:valAx>
      <c:spPr>
        <a:solidFill>
          <a:schemeClr val="bg1">
            <a:lumMod val="95000"/>
          </a:schemeClr>
        </a:solidFill>
        <a:ln>
          <a:solidFill>
            <a:schemeClr val="tx1"/>
          </a:solidFill>
        </a:ln>
      </c:spPr>
    </c:plotArea>
    <c:legend>
      <c:legendPos val="t"/>
      <c:overlay val="0"/>
      <c:spPr>
        <a:ln>
          <a:solidFill>
            <a:sysClr val="windowText" lastClr="000000"/>
          </a:solidFill>
        </a:ln>
      </c:sp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50"/>
            </a:pPr>
            <a:r>
              <a:rPr lang="en-US" sz="1050"/>
              <a:t>Figure 4</a:t>
            </a:r>
          </a:p>
          <a:p>
            <a:pPr algn="ctr">
              <a:defRPr sz="1050"/>
            </a:pPr>
            <a:r>
              <a:rPr lang="en-US" sz="1050"/>
              <a:t>Quarterly Indexes of  Waco MSA Total Industry </a:t>
            </a:r>
          </a:p>
          <a:p>
            <a:pPr algn="ctr">
              <a:defRPr sz="1050"/>
            </a:pPr>
            <a:r>
              <a:rPr lang="en-US" sz="1050"/>
              <a:t>Employment and Wages</a:t>
            </a:r>
          </a:p>
        </c:rich>
      </c:tx>
      <c:layout>
        <c:manualLayout>
          <c:xMode val="edge"/>
          <c:yMode val="edge"/>
          <c:x val="0.26374123145805939"/>
          <c:y val="3.0639624286695127E-2"/>
        </c:manualLayout>
      </c:layout>
      <c:overlay val="0"/>
    </c:title>
    <c:autoTitleDeleted val="0"/>
    <c:plotArea>
      <c:layout>
        <c:manualLayout>
          <c:layoutTarget val="inner"/>
          <c:xMode val="edge"/>
          <c:yMode val="edge"/>
          <c:x val="0.11245086051829255"/>
          <c:y val="0.25259040554112816"/>
          <c:w val="0.86908405710604686"/>
          <c:h val="0.4698469921877364"/>
        </c:manualLayout>
      </c:layout>
      <c:lineChart>
        <c:grouping val="standard"/>
        <c:varyColors val="0"/>
        <c:ser>
          <c:idx val="0"/>
          <c:order val="0"/>
          <c:tx>
            <c:strRef>
              <c:f>DA20151436!$G$1</c:f>
              <c:strCache>
                <c:ptCount val="1"/>
                <c:pt idx="0">
                  <c:v>Employed</c:v>
                </c:pt>
              </c:strCache>
            </c:strRef>
          </c:tx>
          <c:spPr>
            <a:ln w="38100">
              <a:solidFill>
                <a:srgbClr val="FF0000"/>
              </a:solidFill>
              <a:prstDash val="solid"/>
            </a:ln>
          </c:spPr>
          <c:marker>
            <c:symbol val="none"/>
          </c:marker>
          <c:cat>
            <c:numRef>
              <c:f>DA20151436!$A$2:$A$21</c:f>
              <c:numCache>
                <c:formatCode>General</c:formatCode>
                <c:ptCount val="20"/>
                <c:pt idx="0">
                  <c:v>2010.1</c:v>
                </c:pt>
                <c:pt idx="1">
                  <c:v>2010.2</c:v>
                </c:pt>
                <c:pt idx="2">
                  <c:v>2010.3</c:v>
                </c:pt>
                <c:pt idx="3">
                  <c:v>2010.3999999999999</c:v>
                </c:pt>
                <c:pt idx="4">
                  <c:v>2011.1</c:v>
                </c:pt>
                <c:pt idx="5">
                  <c:v>2011.1999999999998</c:v>
                </c:pt>
                <c:pt idx="6">
                  <c:v>2011.2999999999997</c:v>
                </c:pt>
                <c:pt idx="7">
                  <c:v>2011.3999999999996</c:v>
                </c:pt>
                <c:pt idx="8">
                  <c:v>2012.1</c:v>
                </c:pt>
                <c:pt idx="9">
                  <c:v>2012.1999999999998</c:v>
                </c:pt>
                <c:pt idx="10">
                  <c:v>2012.2999999999997</c:v>
                </c:pt>
                <c:pt idx="11">
                  <c:v>2012.3999999999996</c:v>
                </c:pt>
                <c:pt idx="12">
                  <c:v>2013.1</c:v>
                </c:pt>
                <c:pt idx="13">
                  <c:v>2013.1999999999998</c:v>
                </c:pt>
                <c:pt idx="14">
                  <c:v>2013.2999999999997</c:v>
                </c:pt>
                <c:pt idx="15">
                  <c:v>2013.3999999999996</c:v>
                </c:pt>
                <c:pt idx="16">
                  <c:v>2014.1</c:v>
                </c:pt>
                <c:pt idx="17">
                  <c:v>2014.1999999999998</c:v>
                </c:pt>
                <c:pt idx="18">
                  <c:v>2014.2999999999997</c:v>
                </c:pt>
                <c:pt idx="19">
                  <c:v>2014.3999999999996</c:v>
                </c:pt>
              </c:numCache>
            </c:numRef>
          </c:cat>
          <c:val>
            <c:numRef>
              <c:f>DA20151436!$G$2:$G$21</c:f>
              <c:numCache>
                <c:formatCode>General</c:formatCode>
                <c:ptCount val="20"/>
                <c:pt idx="0">
                  <c:v>100</c:v>
                </c:pt>
                <c:pt idx="1">
                  <c:v>100.32406818159568</c:v>
                </c:pt>
                <c:pt idx="2">
                  <c:v>100.85471759073418</c:v>
                </c:pt>
                <c:pt idx="3">
                  <c:v>102.42414748528965</c:v>
                </c:pt>
                <c:pt idx="4">
                  <c:v>102.80989631776305</c:v>
                </c:pt>
                <c:pt idx="5">
                  <c:v>102.29197466198023</c:v>
                </c:pt>
                <c:pt idx="6">
                  <c:v>102.00902691430305</c:v>
                </c:pt>
                <c:pt idx="7">
                  <c:v>102.06189604362683</c:v>
                </c:pt>
                <c:pt idx="8">
                  <c:v>104.18938896993313</c:v>
                </c:pt>
                <c:pt idx="9">
                  <c:v>104.46254613810591</c:v>
                </c:pt>
                <c:pt idx="10">
                  <c:v>102.03644053691538</c:v>
                </c:pt>
                <c:pt idx="11">
                  <c:v>101.82594307757076</c:v>
                </c:pt>
                <c:pt idx="12">
                  <c:v>102.90878117075751</c:v>
                </c:pt>
                <c:pt idx="13">
                  <c:v>103.98084962648939</c:v>
                </c:pt>
                <c:pt idx="14">
                  <c:v>104.9236824327632</c:v>
                </c:pt>
                <c:pt idx="15">
                  <c:v>101.2551522924642</c:v>
                </c:pt>
                <c:pt idx="16">
                  <c:v>101.45585917230441</c:v>
                </c:pt>
                <c:pt idx="17">
                  <c:v>103.68811129930782</c:v>
                </c:pt>
                <c:pt idx="18">
                  <c:v>103.81147260106324</c:v>
                </c:pt>
                <c:pt idx="19">
                  <c:v>106.8925679710982</c:v>
                </c:pt>
              </c:numCache>
            </c:numRef>
          </c:val>
          <c:smooth val="0"/>
        </c:ser>
        <c:ser>
          <c:idx val="1"/>
          <c:order val="1"/>
          <c:tx>
            <c:strRef>
              <c:f>DA20151436!$H$1</c:f>
              <c:strCache>
                <c:ptCount val="1"/>
                <c:pt idx="0">
                  <c:v>Wkly Wage</c:v>
                </c:pt>
              </c:strCache>
            </c:strRef>
          </c:tx>
          <c:spPr>
            <a:ln w="38100">
              <a:solidFill>
                <a:schemeClr val="tx2"/>
              </a:solidFill>
              <a:prstDash val="solid"/>
            </a:ln>
          </c:spPr>
          <c:marker>
            <c:symbol val="none"/>
          </c:marker>
          <c:cat>
            <c:numRef>
              <c:f>DA20151436!$A$2:$A$21</c:f>
              <c:numCache>
                <c:formatCode>General</c:formatCode>
                <c:ptCount val="20"/>
                <c:pt idx="0">
                  <c:v>2010.1</c:v>
                </c:pt>
                <c:pt idx="1">
                  <c:v>2010.2</c:v>
                </c:pt>
                <c:pt idx="2">
                  <c:v>2010.3</c:v>
                </c:pt>
                <c:pt idx="3">
                  <c:v>2010.3999999999999</c:v>
                </c:pt>
                <c:pt idx="4">
                  <c:v>2011.1</c:v>
                </c:pt>
                <c:pt idx="5">
                  <c:v>2011.1999999999998</c:v>
                </c:pt>
                <c:pt idx="6">
                  <c:v>2011.2999999999997</c:v>
                </c:pt>
                <c:pt idx="7">
                  <c:v>2011.3999999999996</c:v>
                </c:pt>
                <c:pt idx="8">
                  <c:v>2012.1</c:v>
                </c:pt>
                <c:pt idx="9">
                  <c:v>2012.1999999999998</c:v>
                </c:pt>
                <c:pt idx="10">
                  <c:v>2012.2999999999997</c:v>
                </c:pt>
                <c:pt idx="11">
                  <c:v>2012.3999999999996</c:v>
                </c:pt>
                <c:pt idx="12">
                  <c:v>2013.1</c:v>
                </c:pt>
                <c:pt idx="13">
                  <c:v>2013.1999999999998</c:v>
                </c:pt>
                <c:pt idx="14">
                  <c:v>2013.2999999999997</c:v>
                </c:pt>
                <c:pt idx="15">
                  <c:v>2013.3999999999996</c:v>
                </c:pt>
                <c:pt idx="16">
                  <c:v>2014.1</c:v>
                </c:pt>
                <c:pt idx="17">
                  <c:v>2014.1999999999998</c:v>
                </c:pt>
                <c:pt idx="18">
                  <c:v>2014.2999999999997</c:v>
                </c:pt>
                <c:pt idx="19">
                  <c:v>2014.3999999999996</c:v>
                </c:pt>
              </c:numCache>
            </c:numRef>
          </c:cat>
          <c:val>
            <c:numRef>
              <c:f>DA20151436!$H$2:$H$21</c:f>
              <c:numCache>
                <c:formatCode>General</c:formatCode>
                <c:ptCount val="20"/>
                <c:pt idx="0">
                  <c:v>100</c:v>
                </c:pt>
                <c:pt idx="1">
                  <c:v>102.71428571428571</c:v>
                </c:pt>
                <c:pt idx="2">
                  <c:v>108.57142857142857</c:v>
                </c:pt>
                <c:pt idx="3">
                  <c:v>108.57142857142857</c:v>
                </c:pt>
                <c:pt idx="4">
                  <c:v>110.71428571428572</c:v>
                </c:pt>
                <c:pt idx="5">
                  <c:v>100.14285714285714</c:v>
                </c:pt>
                <c:pt idx="6">
                  <c:v>102.28571428571429</c:v>
                </c:pt>
                <c:pt idx="7">
                  <c:v>105.42857142857143</c:v>
                </c:pt>
                <c:pt idx="8">
                  <c:v>106.71428571428572</c:v>
                </c:pt>
                <c:pt idx="9">
                  <c:v>109.14285714285714</c:v>
                </c:pt>
                <c:pt idx="10">
                  <c:v>103.28571428571429</c:v>
                </c:pt>
                <c:pt idx="11">
                  <c:v>107.28571428571429</c:v>
                </c:pt>
                <c:pt idx="12">
                  <c:v>104.57142857142858</c:v>
                </c:pt>
                <c:pt idx="13">
                  <c:v>106.14285714285714</c:v>
                </c:pt>
                <c:pt idx="14">
                  <c:v>110.42857142857143</c:v>
                </c:pt>
                <c:pt idx="15">
                  <c:v>112.42857142857143</c:v>
                </c:pt>
                <c:pt idx="16">
                  <c:v>109.85714285714285</c:v>
                </c:pt>
                <c:pt idx="17">
                  <c:v>115.42857142857143</c:v>
                </c:pt>
                <c:pt idx="18">
                  <c:v>114.99999999999999</c:v>
                </c:pt>
                <c:pt idx="19">
                  <c:v>118.42857142857144</c:v>
                </c:pt>
              </c:numCache>
            </c:numRef>
          </c:val>
          <c:smooth val="0"/>
        </c:ser>
        <c:dLbls>
          <c:showLegendKey val="0"/>
          <c:showVal val="0"/>
          <c:showCatName val="0"/>
          <c:showSerName val="0"/>
          <c:showPercent val="0"/>
          <c:showBubbleSize val="0"/>
        </c:dLbls>
        <c:marker val="1"/>
        <c:smooth val="0"/>
        <c:axId val="39263232"/>
        <c:axId val="39273216"/>
      </c:lineChart>
      <c:catAx>
        <c:axId val="39263232"/>
        <c:scaling>
          <c:orientation val="minMax"/>
        </c:scaling>
        <c:delete val="0"/>
        <c:axPos val="b"/>
        <c:numFmt formatCode="General" sourceLinked="1"/>
        <c:majorTickMark val="out"/>
        <c:minorTickMark val="none"/>
        <c:tickLblPos val="nextTo"/>
        <c:txPr>
          <a:bodyPr/>
          <a:lstStyle/>
          <a:p>
            <a:pPr>
              <a:defRPr sz="900"/>
            </a:pPr>
            <a:endParaRPr lang="en-US"/>
          </a:p>
        </c:txPr>
        <c:crossAx val="39273216"/>
        <c:crosses val="autoZero"/>
        <c:auto val="1"/>
        <c:lblAlgn val="ctr"/>
        <c:lblOffset val="100"/>
        <c:noMultiLvlLbl val="0"/>
      </c:catAx>
      <c:valAx>
        <c:axId val="39273216"/>
        <c:scaling>
          <c:orientation val="minMax"/>
        </c:scaling>
        <c:delete val="0"/>
        <c:axPos val="l"/>
        <c:majorGridlines/>
        <c:title>
          <c:tx>
            <c:rich>
              <a:bodyPr rot="-5400000" vert="horz"/>
              <a:lstStyle/>
              <a:p>
                <a:pPr>
                  <a:defRPr sz="900"/>
                </a:pPr>
                <a:r>
                  <a:rPr lang="en-US" sz="900"/>
                  <a:t>1st Qtr. 2010 = 100</a:t>
                </a:r>
              </a:p>
            </c:rich>
          </c:tx>
          <c:layout>
            <c:manualLayout>
              <c:xMode val="edge"/>
              <c:yMode val="edge"/>
              <c:x val="8.3384440098582448E-3"/>
              <c:y val="0.30367162438028578"/>
            </c:manualLayout>
          </c:layout>
          <c:overlay val="0"/>
        </c:title>
        <c:numFmt formatCode="General" sourceLinked="1"/>
        <c:majorTickMark val="out"/>
        <c:minorTickMark val="none"/>
        <c:tickLblPos val="nextTo"/>
        <c:txPr>
          <a:bodyPr/>
          <a:lstStyle/>
          <a:p>
            <a:pPr>
              <a:defRPr sz="1000"/>
            </a:pPr>
            <a:endParaRPr lang="en-US"/>
          </a:p>
        </c:txPr>
        <c:crossAx val="39263232"/>
        <c:crosses val="autoZero"/>
        <c:crossBetween val="between"/>
      </c:valAx>
      <c:spPr>
        <a:solidFill>
          <a:schemeClr val="bg1">
            <a:lumMod val="95000"/>
          </a:schemeClr>
        </a:solidFill>
        <a:ln>
          <a:noFill/>
        </a:ln>
      </c:spPr>
    </c:plotArea>
    <c:legend>
      <c:legendPos val="b"/>
      <c:legendEntry>
        <c:idx val="0"/>
        <c:txPr>
          <a:bodyPr/>
          <a:lstStyle/>
          <a:p>
            <a:pPr>
              <a:defRPr sz="1000"/>
            </a:pPr>
            <a:endParaRPr lang="en-US"/>
          </a:p>
        </c:txPr>
      </c:legendEntry>
      <c:legendEntry>
        <c:idx val="1"/>
        <c:txPr>
          <a:bodyPr/>
          <a:lstStyle/>
          <a:p>
            <a:pPr>
              <a:defRPr sz="1000"/>
            </a:pPr>
            <a:endParaRPr lang="en-US"/>
          </a:p>
        </c:txPr>
      </c:legendEntry>
      <c:layout>
        <c:manualLayout>
          <c:xMode val="edge"/>
          <c:yMode val="edge"/>
          <c:x val="0.28202261063876816"/>
          <c:y val="0.91090843406764888"/>
          <c:w val="0.38251417966972262"/>
          <c:h val="8.6215151918573332E-2"/>
        </c:manualLayout>
      </c:layout>
      <c:overlay val="0"/>
    </c:legend>
    <c:plotVisOnly val="1"/>
    <c:dispBlanksAs val="gap"/>
    <c:showDLblsOverMax val="0"/>
  </c:chart>
  <c:txPr>
    <a:bodyPr/>
    <a:lstStyle/>
    <a:p>
      <a:pPr>
        <a:defRPr sz="1050" b="0">
          <a:latin typeface="Tahoma" pitchFamily="34" charset="0"/>
          <a:ea typeface="Tahoma" pitchFamily="34" charset="0"/>
          <a:cs typeface="Tahoma"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en-US" sz="1100" b="0"/>
              <a:t>Figure 5</a:t>
            </a:r>
          </a:p>
          <a:p>
            <a:pPr>
              <a:defRPr sz="1100" b="0"/>
            </a:pPr>
            <a:r>
              <a:rPr lang="en-US" sz="1100" b="0"/>
              <a:t>Waco MSA Monthly Manufacturing Employment</a:t>
            </a:r>
          </a:p>
        </c:rich>
      </c:tx>
      <c:overlay val="0"/>
    </c:title>
    <c:autoTitleDeleted val="0"/>
    <c:plotArea>
      <c:layout>
        <c:manualLayout>
          <c:layoutTarget val="inner"/>
          <c:xMode val="edge"/>
          <c:yMode val="edge"/>
          <c:x val="0.10141907261592302"/>
          <c:y val="0.27413276785571811"/>
          <c:w val="0.88326461178055682"/>
          <c:h val="0.60989966379677751"/>
        </c:manualLayout>
      </c:layout>
      <c:barChart>
        <c:barDir val="col"/>
        <c:grouping val="clustered"/>
        <c:varyColors val="0"/>
        <c:ser>
          <c:idx val="0"/>
          <c:order val="0"/>
          <c:tx>
            <c:v>2013</c:v>
          </c:tx>
          <c:spPr>
            <a:solidFill>
              <a:schemeClr val="tx2"/>
            </a:solidFill>
            <a:ln>
              <a:solidFill>
                <a:schemeClr val="tx1"/>
              </a:solidFill>
            </a:ln>
          </c:spPr>
          <c:invertIfNegative val="0"/>
          <c:cat>
            <c:strRef>
              <c:f>'[SeriesReport-20150812154926_50fcc0.xlsx]BLS Data Series'!$B$13:$M$13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'[SeriesReport-20150812154926_50fcc0.xlsx]BLS Data Series'!$B$22:$M$22</c:f>
              <c:numCache>
                <c:formatCode>#0.0</c:formatCode>
                <c:ptCount val="12"/>
                <c:pt idx="0">
                  <c:v>14.7</c:v>
                </c:pt>
                <c:pt idx="1">
                  <c:v>14.7</c:v>
                </c:pt>
                <c:pt idx="2">
                  <c:v>14.4</c:v>
                </c:pt>
                <c:pt idx="3">
                  <c:v>14.8</c:v>
                </c:pt>
                <c:pt idx="4">
                  <c:v>14.8</c:v>
                </c:pt>
                <c:pt idx="5">
                  <c:v>14.8</c:v>
                </c:pt>
                <c:pt idx="6">
                  <c:v>14.9</c:v>
                </c:pt>
                <c:pt idx="7">
                  <c:v>14.9</c:v>
                </c:pt>
                <c:pt idx="8">
                  <c:v>14.9</c:v>
                </c:pt>
                <c:pt idx="9">
                  <c:v>14.8</c:v>
                </c:pt>
                <c:pt idx="10">
                  <c:v>14.9</c:v>
                </c:pt>
                <c:pt idx="11">
                  <c:v>14.9</c:v>
                </c:pt>
              </c:numCache>
            </c:numRef>
          </c:val>
        </c:ser>
        <c:ser>
          <c:idx val="1"/>
          <c:order val="1"/>
          <c:tx>
            <c:v>2014</c:v>
          </c:tx>
          <c:spPr>
            <a:solidFill>
              <a:srgbClr val="FF0000"/>
            </a:solidFill>
            <a:ln>
              <a:solidFill>
                <a:schemeClr val="tx1"/>
              </a:solidFill>
            </a:ln>
          </c:spPr>
          <c:invertIfNegative val="0"/>
          <c:cat>
            <c:strRef>
              <c:f>'[SeriesReport-20150812154926_50fcc0.xlsx]BLS Data Series'!$B$13:$M$13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'[SeriesReport-20150812154926_50fcc0.xlsx]BLS Data Series'!$B$23:$M$23</c:f>
              <c:numCache>
                <c:formatCode>#0.0</c:formatCode>
                <c:ptCount val="12"/>
                <c:pt idx="0">
                  <c:v>14.7</c:v>
                </c:pt>
                <c:pt idx="1">
                  <c:v>14.6</c:v>
                </c:pt>
                <c:pt idx="2">
                  <c:v>14.7</c:v>
                </c:pt>
                <c:pt idx="3">
                  <c:v>14.6</c:v>
                </c:pt>
                <c:pt idx="4">
                  <c:v>14.6</c:v>
                </c:pt>
                <c:pt idx="5">
                  <c:v>14.7</c:v>
                </c:pt>
                <c:pt idx="6">
                  <c:v>14.7</c:v>
                </c:pt>
                <c:pt idx="7">
                  <c:v>14.6</c:v>
                </c:pt>
                <c:pt idx="8">
                  <c:v>14.6</c:v>
                </c:pt>
                <c:pt idx="9">
                  <c:v>14.4</c:v>
                </c:pt>
                <c:pt idx="10">
                  <c:v>14.4</c:v>
                </c:pt>
                <c:pt idx="11">
                  <c:v>14.4</c:v>
                </c:pt>
              </c:numCache>
            </c:numRef>
          </c:val>
        </c:ser>
        <c:ser>
          <c:idx val="2"/>
          <c:order val="2"/>
          <c:tx>
            <c:v>2015</c:v>
          </c:tx>
          <c:spPr>
            <a:solidFill>
              <a:srgbClr val="00B050"/>
            </a:solidFill>
            <a:ln>
              <a:solidFill>
                <a:schemeClr val="tx1"/>
              </a:solidFill>
            </a:ln>
          </c:spPr>
          <c:invertIfNegative val="0"/>
          <c:cat>
            <c:strRef>
              <c:f>'[SeriesReport-20150812154926_50fcc0.xlsx]BLS Data Series'!$B$13:$M$13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'[SeriesReport-20150812154926_50fcc0.xlsx]BLS Data Series'!$B$24:$M$24</c:f>
              <c:numCache>
                <c:formatCode>#0.0</c:formatCode>
                <c:ptCount val="12"/>
                <c:pt idx="0">
                  <c:v>14.5</c:v>
                </c:pt>
                <c:pt idx="1">
                  <c:v>14.5</c:v>
                </c:pt>
                <c:pt idx="2">
                  <c:v>14.4</c:v>
                </c:pt>
                <c:pt idx="3">
                  <c:v>14.5</c:v>
                </c:pt>
                <c:pt idx="4">
                  <c:v>14.4</c:v>
                </c:pt>
                <c:pt idx="5">
                  <c:v>14.4</c:v>
                </c:pt>
              </c:numCache>
            </c:numRef>
          </c:val>
        </c:ser>
        <c:dLbls>
          <c:showLegendKey val="0"/>
          <c:showVal val="0"/>
          <c:showCatName val="0"/>
          <c:showSerName val="0"/>
          <c:showPercent val="0"/>
          <c:showBubbleSize val="0"/>
        </c:dLbls>
        <c:gapWidth val="150"/>
        <c:axId val="39300480"/>
        <c:axId val="39314560"/>
      </c:barChart>
      <c:catAx>
        <c:axId val="39300480"/>
        <c:scaling>
          <c:orientation val="minMax"/>
        </c:scaling>
        <c:delete val="0"/>
        <c:axPos val="b"/>
        <c:majorTickMark val="out"/>
        <c:minorTickMark val="none"/>
        <c:tickLblPos val="nextTo"/>
        <c:crossAx val="39314560"/>
        <c:crosses val="autoZero"/>
        <c:auto val="1"/>
        <c:lblAlgn val="ctr"/>
        <c:lblOffset val="100"/>
        <c:noMultiLvlLbl val="0"/>
      </c:catAx>
      <c:valAx>
        <c:axId val="39314560"/>
        <c:scaling>
          <c:orientation val="minMax"/>
        </c:scaling>
        <c:delete val="0"/>
        <c:axPos val="l"/>
        <c:majorGridlines/>
        <c:numFmt formatCode="#0.0" sourceLinked="1"/>
        <c:majorTickMark val="out"/>
        <c:minorTickMark val="none"/>
        <c:tickLblPos val="nextTo"/>
        <c:crossAx val="39300480"/>
        <c:crosses val="autoZero"/>
        <c:crossBetween val="between"/>
      </c:valAx>
      <c:spPr>
        <a:solidFill>
          <a:schemeClr val="bg1">
            <a:lumMod val="95000"/>
          </a:schemeClr>
        </a:solidFill>
        <a:ln>
          <a:solidFill>
            <a:schemeClr val="tx1"/>
          </a:solidFill>
        </a:ln>
      </c:spPr>
    </c:plotArea>
    <c:legend>
      <c:legendPos val="t"/>
      <c:overlay val="0"/>
      <c:spPr>
        <a:ln>
          <a:solidFill>
            <a:sysClr val="windowText" lastClr="000000"/>
          </a:solidFill>
        </a:ln>
      </c:spPr>
    </c:legend>
    <c:plotVisOnly val="1"/>
    <c:dispBlanksAs val="gap"/>
    <c:showDLblsOverMax val="0"/>
  </c:chart>
  <c:txPr>
    <a:bodyPr/>
    <a:lstStyle/>
    <a:p>
      <a:pPr>
        <a:defRPr sz="1100">
          <a:latin typeface="Tahoma" pitchFamily="34" charset="0"/>
          <a:ea typeface="Tahoma" pitchFamily="34" charset="0"/>
          <a:cs typeface="Tahoma"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a:pPr>
            <a:r>
              <a:rPr lang="en-US" sz="1050" b="0"/>
              <a:t>Figure 6</a:t>
            </a:r>
          </a:p>
          <a:p>
            <a:pPr>
              <a:defRPr sz="1050" b="0"/>
            </a:pPr>
            <a:r>
              <a:rPr lang="en-US" sz="1050" b="0"/>
              <a:t>Waco 2014 Manufacturing Annual Average Employment</a:t>
            </a:r>
          </a:p>
          <a:p>
            <a:pPr>
              <a:defRPr sz="1050" b="0"/>
            </a:pPr>
            <a:r>
              <a:rPr lang="en-US" sz="1050" b="0"/>
              <a:t> and Averqage Weekly Wage per Worker </a:t>
            </a:r>
          </a:p>
        </c:rich>
      </c:tx>
      <c:layout>
        <c:manualLayout>
          <c:xMode val="edge"/>
          <c:yMode val="edge"/>
          <c:x val="0.18123018332470778"/>
          <c:y val="2.0853593032774388E-2"/>
        </c:manualLayout>
      </c:layout>
      <c:overlay val="0"/>
    </c:title>
    <c:autoTitleDeleted val="0"/>
    <c:plotArea>
      <c:layout>
        <c:manualLayout>
          <c:layoutTarget val="inner"/>
          <c:xMode val="edge"/>
          <c:yMode val="edge"/>
          <c:x val="0.25336010498687667"/>
          <c:y val="0.23147624985054743"/>
          <c:w val="0.69966211723534555"/>
          <c:h val="0.67292966904082763"/>
        </c:manualLayout>
      </c:layout>
      <c:barChart>
        <c:barDir val="bar"/>
        <c:grouping val="clustered"/>
        <c:varyColors val="0"/>
        <c:ser>
          <c:idx val="0"/>
          <c:order val="0"/>
          <c:tx>
            <c:strRef>
              <c:f>DA2015132!$O$6</c:f>
              <c:strCache>
                <c:ptCount val="1"/>
                <c:pt idx="0">
                  <c:v>Avg. Weekly Wages</c:v>
                </c:pt>
              </c:strCache>
            </c:strRef>
          </c:tx>
          <c:spPr>
            <a:solidFill>
              <a:srgbClr val="FF0000"/>
            </a:solidFill>
            <a:ln>
              <a:solidFill>
                <a:schemeClr val="tx1"/>
              </a:solidFill>
            </a:ln>
          </c:spPr>
          <c:invertIfNegative val="0"/>
          <c:cat>
            <c:strRef>
              <c:f>DA2015132!$M$7:$N$21</c:f>
              <c:strCache>
                <c:ptCount val="15"/>
                <c:pt idx="0">
                  <c:v>Food</c:v>
                </c:pt>
                <c:pt idx="1">
                  <c:v>Textile Mills</c:v>
                </c:pt>
                <c:pt idx="2">
                  <c:v>Wood </c:v>
                </c:pt>
                <c:pt idx="3">
                  <c:v>Paper</c:v>
                </c:pt>
                <c:pt idx="4">
                  <c:v>Printing</c:v>
                </c:pt>
                <c:pt idx="5">
                  <c:v>Petroleum and coal</c:v>
                </c:pt>
                <c:pt idx="6">
                  <c:v>Chemical</c:v>
                </c:pt>
                <c:pt idx="7">
                  <c:v>Plastics</c:v>
                </c:pt>
                <c:pt idx="8">
                  <c:v>Nonmetiallic mineral</c:v>
                </c:pt>
                <c:pt idx="9">
                  <c:v>Fabricated metal</c:v>
                </c:pt>
                <c:pt idx="10">
                  <c:v>Machinery</c:v>
                </c:pt>
                <c:pt idx="11">
                  <c:v>Electrical equipment</c:v>
                </c:pt>
                <c:pt idx="12">
                  <c:v>Transportation equip.</c:v>
                </c:pt>
                <c:pt idx="13">
                  <c:v>Furniture</c:v>
                </c:pt>
                <c:pt idx="14">
                  <c:v>Miscellaneous</c:v>
                </c:pt>
              </c:strCache>
            </c:strRef>
          </c:cat>
          <c:val>
            <c:numRef>
              <c:f>DA2015132!$O$7:$O$21</c:f>
              <c:numCache>
                <c:formatCode>General</c:formatCode>
                <c:ptCount val="15"/>
                <c:pt idx="0">
                  <c:v>867</c:v>
                </c:pt>
                <c:pt idx="1">
                  <c:v>442</c:v>
                </c:pt>
                <c:pt idx="2">
                  <c:v>786</c:v>
                </c:pt>
                <c:pt idx="3">
                  <c:v>1008</c:v>
                </c:pt>
                <c:pt idx="4">
                  <c:v>633</c:v>
                </c:pt>
                <c:pt idx="5">
                  <c:v>1167</c:v>
                </c:pt>
                <c:pt idx="6">
                  <c:v>1604</c:v>
                </c:pt>
                <c:pt idx="7">
                  <c:v>636</c:v>
                </c:pt>
                <c:pt idx="8">
                  <c:v>1073</c:v>
                </c:pt>
                <c:pt idx="9">
                  <c:v>1030</c:v>
                </c:pt>
                <c:pt idx="10">
                  <c:v>945</c:v>
                </c:pt>
                <c:pt idx="11">
                  <c:v>1018</c:v>
                </c:pt>
                <c:pt idx="12">
                  <c:v>1711</c:v>
                </c:pt>
                <c:pt idx="13">
                  <c:v>812</c:v>
                </c:pt>
                <c:pt idx="14">
                  <c:v>776</c:v>
                </c:pt>
              </c:numCache>
            </c:numRef>
          </c:val>
        </c:ser>
        <c:ser>
          <c:idx val="1"/>
          <c:order val="1"/>
          <c:tx>
            <c:strRef>
              <c:f>DA2015132!$P$6</c:f>
              <c:strCache>
                <c:ptCount val="1"/>
                <c:pt idx="0">
                  <c:v>Employed</c:v>
                </c:pt>
              </c:strCache>
            </c:strRef>
          </c:tx>
          <c:spPr>
            <a:solidFill>
              <a:srgbClr val="00B050"/>
            </a:solidFill>
            <a:ln>
              <a:solidFill>
                <a:schemeClr val="tx1"/>
              </a:solidFill>
            </a:ln>
          </c:spPr>
          <c:invertIfNegative val="0"/>
          <c:cat>
            <c:strRef>
              <c:f>DA2015132!$M$7:$N$21</c:f>
              <c:strCache>
                <c:ptCount val="15"/>
                <c:pt idx="0">
                  <c:v>Food</c:v>
                </c:pt>
                <c:pt idx="1">
                  <c:v>Textile Mills</c:v>
                </c:pt>
                <c:pt idx="2">
                  <c:v>Wood </c:v>
                </c:pt>
                <c:pt idx="3">
                  <c:v>Paper</c:v>
                </c:pt>
                <c:pt idx="4">
                  <c:v>Printing</c:v>
                </c:pt>
                <c:pt idx="5">
                  <c:v>Petroleum and coal</c:v>
                </c:pt>
                <c:pt idx="6">
                  <c:v>Chemical</c:v>
                </c:pt>
                <c:pt idx="7">
                  <c:v>Plastics</c:v>
                </c:pt>
                <c:pt idx="8">
                  <c:v>Nonmetiallic mineral</c:v>
                </c:pt>
                <c:pt idx="9">
                  <c:v>Fabricated metal</c:v>
                </c:pt>
                <c:pt idx="10">
                  <c:v>Machinery</c:v>
                </c:pt>
                <c:pt idx="11">
                  <c:v>Electrical equipment</c:v>
                </c:pt>
                <c:pt idx="12">
                  <c:v>Transportation equip.</c:v>
                </c:pt>
                <c:pt idx="13">
                  <c:v>Furniture</c:v>
                </c:pt>
                <c:pt idx="14">
                  <c:v>Miscellaneous</c:v>
                </c:pt>
              </c:strCache>
            </c:strRef>
          </c:cat>
          <c:val>
            <c:numRef>
              <c:f>DA2015132!$P$7:$P$21</c:f>
              <c:numCache>
                <c:formatCode>General</c:formatCode>
                <c:ptCount val="15"/>
                <c:pt idx="0">
                  <c:v>1850</c:v>
                </c:pt>
                <c:pt idx="1">
                  <c:v>151</c:v>
                </c:pt>
                <c:pt idx="2">
                  <c:v>802</c:v>
                </c:pt>
                <c:pt idx="3">
                  <c:v>685</c:v>
                </c:pt>
                <c:pt idx="4">
                  <c:v>474</c:v>
                </c:pt>
                <c:pt idx="5">
                  <c:v>36</c:v>
                </c:pt>
                <c:pt idx="6">
                  <c:v>1013</c:v>
                </c:pt>
                <c:pt idx="7">
                  <c:v>569</c:v>
                </c:pt>
                <c:pt idx="8">
                  <c:v>982</c:v>
                </c:pt>
                <c:pt idx="9">
                  <c:v>1163</c:v>
                </c:pt>
                <c:pt idx="10">
                  <c:v>1257</c:v>
                </c:pt>
                <c:pt idx="11">
                  <c:v>105</c:v>
                </c:pt>
                <c:pt idx="12">
                  <c:v>2025</c:v>
                </c:pt>
                <c:pt idx="13">
                  <c:v>221</c:v>
                </c:pt>
                <c:pt idx="14">
                  <c:v>412</c:v>
                </c:pt>
              </c:numCache>
            </c:numRef>
          </c:val>
        </c:ser>
        <c:dLbls>
          <c:showLegendKey val="0"/>
          <c:showVal val="0"/>
          <c:showCatName val="0"/>
          <c:showSerName val="0"/>
          <c:showPercent val="0"/>
          <c:showBubbleSize val="0"/>
        </c:dLbls>
        <c:gapWidth val="150"/>
        <c:axId val="39724928"/>
        <c:axId val="39726464"/>
      </c:barChart>
      <c:catAx>
        <c:axId val="39724928"/>
        <c:scaling>
          <c:orientation val="minMax"/>
        </c:scaling>
        <c:delete val="0"/>
        <c:axPos val="l"/>
        <c:majorTickMark val="out"/>
        <c:minorTickMark val="none"/>
        <c:tickLblPos val="nextTo"/>
        <c:crossAx val="39726464"/>
        <c:crosses val="autoZero"/>
        <c:auto val="1"/>
        <c:lblAlgn val="ctr"/>
        <c:lblOffset val="100"/>
        <c:noMultiLvlLbl val="0"/>
      </c:catAx>
      <c:valAx>
        <c:axId val="39726464"/>
        <c:scaling>
          <c:orientation val="minMax"/>
        </c:scaling>
        <c:delete val="0"/>
        <c:axPos val="b"/>
        <c:majorGridlines/>
        <c:numFmt formatCode="General" sourceLinked="1"/>
        <c:majorTickMark val="out"/>
        <c:minorTickMark val="none"/>
        <c:tickLblPos val="nextTo"/>
        <c:crossAx val="39724928"/>
        <c:crosses val="autoZero"/>
        <c:crossBetween val="between"/>
      </c:valAx>
      <c:spPr>
        <a:solidFill>
          <a:schemeClr val="bg1">
            <a:lumMod val="95000"/>
          </a:schemeClr>
        </a:solidFill>
        <a:ln>
          <a:solidFill>
            <a:schemeClr val="tx1"/>
          </a:solidFill>
        </a:ln>
      </c:spPr>
    </c:plotArea>
    <c:legend>
      <c:legendPos val="t"/>
      <c:layout>
        <c:manualLayout>
          <c:xMode val="edge"/>
          <c:yMode val="edge"/>
          <c:x val="0.31072038495188103"/>
          <c:y val="0.1589298626174982"/>
          <c:w val="0.37855923009623799"/>
          <c:h val="5.2300544861393412E-2"/>
        </c:manualLayout>
      </c:layout>
      <c:overlay val="0"/>
    </c:legend>
    <c:plotVisOnly val="1"/>
    <c:dispBlanksAs val="gap"/>
    <c:showDLblsOverMax val="0"/>
  </c:chart>
  <c:spPr>
    <a:ln>
      <a:solidFill>
        <a:schemeClr val="tx1"/>
      </a:solidFill>
    </a:ln>
  </c:spPr>
  <c:txPr>
    <a:bodyPr/>
    <a:lstStyle/>
    <a:p>
      <a:pPr>
        <a:defRPr sz="1050">
          <a:latin typeface="Tahoma" pitchFamily="34" charset="0"/>
          <a:ea typeface="Tahoma" pitchFamily="34" charset="0"/>
          <a:cs typeface="Tahoma"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Figure 7</a:t>
            </a:r>
          </a:p>
          <a:p>
            <a:pPr>
              <a:defRPr sz="1100"/>
            </a:pPr>
            <a:r>
              <a:rPr lang="en-US" sz="1100"/>
              <a:t>2014 Annual Percent Change in Employment and Wages by </a:t>
            </a:r>
          </a:p>
          <a:p>
            <a:pPr>
              <a:defRPr sz="1100"/>
            </a:pPr>
            <a:r>
              <a:rPr lang="en-US" sz="1100"/>
              <a:t>Five Largest Sectors</a:t>
            </a:r>
          </a:p>
        </c:rich>
      </c:tx>
      <c:layout>
        <c:manualLayout>
          <c:xMode val="edge"/>
          <c:yMode val="edge"/>
          <c:x val="0.1730566372817528"/>
          <c:y val="2.1210763288735225E-3"/>
        </c:manualLayout>
      </c:layout>
      <c:overlay val="0"/>
    </c:title>
    <c:autoTitleDeleted val="0"/>
    <c:plotArea>
      <c:layout>
        <c:manualLayout>
          <c:layoutTarget val="inner"/>
          <c:xMode val="edge"/>
          <c:yMode val="edge"/>
          <c:x val="2.9220113484356956E-2"/>
          <c:y val="0.23155836375566125"/>
          <c:w val="0.93934671649038681"/>
          <c:h val="0.55893992847331064"/>
        </c:manualLayout>
      </c:layout>
      <c:barChart>
        <c:barDir val="bar"/>
        <c:grouping val="clustered"/>
        <c:varyColors val="0"/>
        <c:ser>
          <c:idx val="0"/>
          <c:order val="0"/>
          <c:tx>
            <c:strRef>
              <c:f>DA20151244!$W$3</c:f>
              <c:strCache>
                <c:ptCount val="1"/>
                <c:pt idx="0">
                  <c:v>Employment</c:v>
                </c:pt>
              </c:strCache>
            </c:strRef>
          </c:tx>
          <c:spPr>
            <a:solidFill>
              <a:schemeClr val="tx2">
                <a:lumMod val="20000"/>
                <a:lumOff val="80000"/>
              </a:schemeClr>
            </a:solidFill>
            <a:ln>
              <a:solidFill>
                <a:schemeClr val="tx1"/>
              </a:solidFill>
            </a:ln>
          </c:spPr>
          <c:invertIfNegative val="0"/>
          <c:cat>
            <c:strRef>
              <c:f>DA20151244!$V$4:$V$8</c:f>
              <c:strCache>
                <c:ptCount val="5"/>
                <c:pt idx="0">
                  <c:v>Food Processing</c:v>
                </c:pt>
                <c:pt idx="1">
                  <c:v>Chemical Products</c:v>
                </c:pt>
                <c:pt idx="2">
                  <c:v>Fabricated Metal</c:v>
                </c:pt>
                <c:pt idx="3">
                  <c:v>Machinery</c:v>
                </c:pt>
                <c:pt idx="4">
                  <c:v>Transportation Equip.</c:v>
                </c:pt>
              </c:strCache>
            </c:strRef>
          </c:cat>
          <c:val>
            <c:numRef>
              <c:f>DA20151244!$W$4:$W$8</c:f>
              <c:numCache>
                <c:formatCode>General</c:formatCode>
                <c:ptCount val="5"/>
                <c:pt idx="0">
                  <c:v>-2.48</c:v>
                </c:pt>
                <c:pt idx="1">
                  <c:v>12.68</c:v>
                </c:pt>
                <c:pt idx="2">
                  <c:v>7</c:v>
                </c:pt>
                <c:pt idx="3">
                  <c:v>9.2100000000000009</c:v>
                </c:pt>
                <c:pt idx="4">
                  <c:v>-5.42</c:v>
                </c:pt>
              </c:numCache>
            </c:numRef>
          </c:val>
        </c:ser>
        <c:ser>
          <c:idx val="1"/>
          <c:order val="1"/>
          <c:tx>
            <c:strRef>
              <c:f>DA20151244!$X$3</c:f>
              <c:strCache>
                <c:ptCount val="1"/>
                <c:pt idx="0">
                  <c:v>Weekly Wage</c:v>
                </c:pt>
              </c:strCache>
            </c:strRef>
          </c:tx>
          <c:spPr>
            <a:solidFill>
              <a:srgbClr val="FF0000"/>
            </a:solidFill>
            <a:ln>
              <a:solidFill>
                <a:schemeClr val="tx1"/>
              </a:solidFill>
            </a:ln>
          </c:spPr>
          <c:invertIfNegative val="0"/>
          <c:cat>
            <c:strRef>
              <c:f>DA20151244!$V$4:$V$8</c:f>
              <c:strCache>
                <c:ptCount val="5"/>
                <c:pt idx="0">
                  <c:v>Food Processing</c:v>
                </c:pt>
                <c:pt idx="1">
                  <c:v>Chemical Products</c:v>
                </c:pt>
                <c:pt idx="2">
                  <c:v>Fabricated Metal</c:v>
                </c:pt>
                <c:pt idx="3">
                  <c:v>Machinery</c:v>
                </c:pt>
                <c:pt idx="4">
                  <c:v>Transportation Equip.</c:v>
                </c:pt>
              </c:strCache>
            </c:strRef>
          </c:cat>
          <c:val>
            <c:numRef>
              <c:f>DA20151244!$X$4:$X$8</c:f>
              <c:numCache>
                <c:formatCode>General</c:formatCode>
                <c:ptCount val="5"/>
                <c:pt idx="0">
                  <c:v>3.96</c:v>
                </c:pt>
                <c:pt idx="1">
                  <c:v>9.4499999999999993</c:v>
                </c:pt>
                <c:pt idx="2">
                  <c:v>3.1</c:v>
                </c:pt>
                <c:pt idx="3">
                  <c:v>2.4900000000000002</c:v>
                </c:pt>
                <c:pt idx="4">
                  <c:v>-3.55</c:v>
                </c:pt>
              </c:numCache>
            </c:numRef>
          </c:val>
        </c:ser>
        <c:dLbls>
          <c:showLegendKey val="0"/>
          <c:showVal val="0"/>
          <c:showCatName val="0"/>
          <c:showSerName val="0"/>
          <c:showPercent val="0"/>
          <c:showBubbleSize val="0"/>
        </c:dLbls>
        <c:gapWidth val="150"/>
        <c:axId val="39735680"/>
        <c:axId val="39737216"/>
      </c:barChart>
      <c:catAx>
        <c:axId val="39735680"/>
        <c:scaling>
          <c:orientation val="minMax"/>
        </c:scaling>
        <c:delete val="0"/>
        <c:axPos val="l"/>
        <c:majorTickMark val="out"/>
        <c:minorTickMark val="none"/>
        <c:tickLblPos val="nextTo"/>
        <c:crossAx val="39737216"/>
        <c:crosses val="autoZero"/>
        <c:auto val="1"/>
        <c:lblAlgn val="ctr"/>
        <c:lblOffset val="100"/>
        <c:noMultiLvlLbl val="0"/>
      </c:catAx>
      <c:valAx>
        <c:axId val="39737216"/>
        <c:scaling>
          <c:orientation val="minMax"/>
        </c:scaling>
        <c:delete val="0"/>
        <c:axPos val="b"/>
        <c:majorGridlines/>
        <c:numFmt formatCode="General" sourceLinked="1"/>
        <c:majorTickMark val="out"/>
        <c:minorTickMark val="none"/>
        <c:tickLblPos val="nextTo"/>
        <c:crossAx val="39735680"/>
        <c:crosses val="autoZero"/>
        <c:crossBetween val="between"/>
      </c:valAx>
      <c:spPr>
        <a:solidFill>
          <a:schemeClr val="bg1">
            <a:lumMod val="95000"/>
          </a:schemeClr>
        </a:solidFill>
        <a:ln>
          <a:solidFill>
            <a:schemeClr val="tx1"/>
          </a:solidFill>
        </a:ln>
      </c:spPr>
    </c:plotArea>
    <c:legend>
      <c:legendPos val="b"/>
      <c:layout>
        <c:manualLayout>
          <c:xMode val="edge"/>
          <c:yMode val="edge"/>
          <c:x val="0.32720052493438317"/>
          <c:y val="0.91569737349264912"/>
          <c:w val="0.36291041119860012"/>
          <c:h val="8.4302580457012763E-2"/>
        </c:manualLayout>
      </c:layout>
      <c:overlay val="0"/>
    </c:legend>
    <c:plotVisOnly val="1"/>
    <c:dispBlanksAs val="gap"/>
    <c:showDLblsOverMax val="0"/>
  </c:chart>
  <c:txPr>
    <a:bodyPr/>
    <a:lstStyle/>
    <a:p>
      <a:pPr>
        <a:defRPr b="0">
          <a:latin typeface="Tahoma" pitchFamily="34" charset="0"/>
          <a:ea typeface="Tahoma" pitchFamily="34" charset="0"/>
          <a:cs typeface="Tahoma"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050" b="0"/>
            </a:pPr>
            <a:r>
              <a:rPr lang="en-US" sz="1050" b="0"/>
              <a:t>Figure 8</a:t>
            </a:r>
          </a:p>
          <a:p>
            <a:pPr algn="ctr" rtl="0">
              <a:defRPr sz="1050" b="0"/>
            </a:pPr>
            <a:r>
              <a:rPr lang="en-US" sz="1050" b="0"/>
              <a:t>Indexes of Waco MSA vs. U.S. Metro Real GDP in Manufacturing, 2001=100  </a:t>
            </a:r>
          </a:p>
        </c:rich>
      </c:tx>
      <c:overlay val="0"/>
    </c:title>
    <c:autoTitleDeleted val="0"/>
    <c:plotArea>
      <c:layout>
        <c:manualLayout>
          <c:layoutTarget val="inner"/>
          <c:xMode val="edge"/>
          <c:yMode val="edge"/>
          <c:x val="7.3039450487250662E-2"/>
          <c:y val="0.24864141865115971"/>
          <c:w val="0.9020478687264003"/>
          <c:h val="0.52084400298135181"/>
        </c:manualLayout>
      </c:layout>
      <c:lineChart>
        <c:grouping val="standard"/>
        <c:varyColors val="0"/>
        <c:ser>
          <c:idx val="0"/>
          <c:order val="0"/>
          <c:tx>
            <c:strRef>
              <c:f>Sheet1!$W$1</c:f>
              <c:strCache>
                <c:ptCount val="1"/>
                <c:pt idx="0">
                  <c:v>USA</c:v>
                </c:pt>
              </c:strCache>
            </c:strRef>
          </c:tx>
          <c:spPr>
            <a:ln w="38100">
              <a:solidFill>
                <a:srgbClr val="C00000"/>
              </a:solidFill>
              <a:prstDash val="solid"/>
            </a:ln>
          </c:spPr>
          <c:marker>
            <c:symbol val="none"/>
          </c:marker>
          <c:cat>
            <c:strRef>
              <c:f>Sheet1!$R$2:$R$14</c:f>
              <c:strCach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strCache>
            </c:strRef>
          </c:cat>
          <c:val>
            <c:numRef>
              <c:f>Sheet1!$W$2:$W$14</c:f>
              <c:numCache>
                <c:formatCode>General</c:formatCode>
                <c:ptCount val="13"/>
                <c:pt idx="0">
                  <c:v>100</c:v>
                </c:pt>
                <c:pt idx="1">
                  <c:v>101.11848313775951</c:v>
                </c:pt>
                <c:pt idx="2">
                  <c:v>106.65342344416273</c:v>
                </c:pt>
                <c:pt idx="3">
                  <c:v>113.09790786558993</c:v>
                </c:pt>
                <c:pt idx="4">
                  <c:v>116.4738624219242</c:v>
                </c:pt>
                <c:pt idx="5">
                  <c:v>122.84257690953191</c:v>
                </c:pt>
                <c:pt idx="6">
                  <c:v>127.35934920182397</c:v>
                </c:pt>
                <c:pt idx="7">
                  <c:v>122.73250469179018</c:v>
                </c:pt>
                <c:pt idx="8">
                  <c:v>113.53240346193896</c:v>
                </c:pt>
                <c:pt idx="9">
                  <c:v>120.93140610397708</c:v>
                </c:pt>
                <c:pt idx="10">
                  <c:v>121.14735803809231</c:v>
                </c:pt>
                <c:pt idx="11">
                  <c:v>123.43859814950613</c:v>
                </c:pt>
                <c:pt idx="12">
                  <c:v>127.44251318351112</c:v>
                </c:pt>
              </c:numCache>
            </c:numRef>
          </c:val>
          <c:smooth val="0"/>
        </c:ser>
        <c:ser>
          <c:idx val="1"/>
          <c:order val="1"/>
          <c:tx>
            <c:strRef>
              <c:f>Sheet1!$X$1</c:f>
              <c:strCache>
                <c:ptCount val="1"/>
                <c:pt idx="0">
                  <c:v>Waco MSA</c:v>
                </c:pt>
              </c:strCache>
            </c:strRef>
          </c:tx>
          <c:spPr>
            <a:ln w="38100">
              <a:solidFill>
                <a:srgbClr val="00B050"/>
              </a:solidFill>
            </a:ln>
          </c:spPr>
          <c:marker>
            <c:symbol val="none"/>
          </c:marker>
          <c:cat>
            <c:strRef>
              <c:f>Sheet1!$R$2:$R$14</c:f>
              <c:strCach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strCache>
            </c:strRef>
          </c:cat>
          <c:val>
            <c:numRef>
              <c:f>Sheet1!$X$2:$X$14</c:f>
              <c:numCache>
                <c:formatCode>General</c:formatCode>
                <c:ptCount val="13"/>
                <c:pt idx="0">
                  <c:v>100</c:v>
                </c:pt>
                <c:pt idx="1">
                  <c:v>105.87155963302752</c:v>
                </c:pt>
                <c:pt idx="2">
                  <c:v>120.91743119266054</c:v>
                </c:pt>
                <c:pt idx="3">
                  <c:v>140.64220183486239</c:v>
                </c:pt>
                <c:pt idx="4">
                  <c:v>160.91743119266056</c:v>
                </c:pt>
                <c:pt idx="5">
                  <c:v>178.44036697247708</c:v>
                </c:pt>
                <c:pt idx="6">
                  <c:v>184.67889908256879</c:v>
                </c:pt>
                <c:pt idx="7">
                  <c:v>189.26605504587155</c:v>
                </c:pt>
                <c:pt idx="8">
                  <c:v>185.77981651376149</c:v>
                </c:pt>
                <c:pt idx="9">
                  <c:v>203.57798165137612</c:v>
                </c:pt>
                <c:pt idx="10">
                  <c:v>206.23853211009174</c:v>
                </c:pt>
                <c:pt idx="11">
                  <c:v>212.93577981651376</c:v>
                </c:pt>
                <c:pt idx="12">
                  <c:v>228.8073394495413</c:v>
                </c:pt>
              </c:numCache>
            </c:numRef>
          </c:val>
          <c:smooth val="0"/>
        </c:ser>
        <c:dLbls>
          <c:showLegendKey val="0"/>
          <c:showVal val="0"/>
          <c:showCatName val="0"/>
          <c:showSerName val="0"/>
          <c:showPercent val="0"/>
          <c:showBubbleSize val="0"/>
        </c:dLbls>
        <c:marker val="1"/>
        <c:smooth val="0"/>
        <c:axId val="39762560"/>
        <c:axId val="39764352"/>
      </c:lineChart>
      <c:catAx>
        <c:axId val="39762560"/>
        <c:scaling>
          <c:orientation val="minMax"/>
        </c:scaling>
        <c:delete val="0"/>
        <c:axPos val="b"/>
        <c:numFmt formatCode="General" sourceLinked="1"/>
        <c:majorTickMark val="out"/>
        <c:minorTickMark val="none"/>
        <c:tickLblPos val="nextTo"/>
        <c:crossAx val="39764352"/>
        <c:crosses val="autoZero"/>
        <c:auto val="1"/>
        <c:lblAlgn val="ctr"/>
        <c:lblOffset val="100"/>
        <c:noMultiLvlLbl val="0"/>
      </c:catAx>
      <c:valAx>
        <c:axId val="39764352"/>
        <c:scaling>
          <c:orientation val="minMax"/>
        </c:scaling>
        <c:delete val="0"/>
        <c:axPos val="l"/>
        <c:majorGridlines/>
        <c:numFmt formatCode="General" sourceLinked="1"/>
        <c:majorTickMark val="out"/>
        <c:minorTickMark val="none"/>
        <c:tickLblPos val="nextTo"/>
        <c:crossAx val="39762560"/>
        <c:crosses val="autoZero"/>
        <c:crossBetween val="between"/>
      </c:valAx>
      <c:spPr>
        <a:solidFill>
          <a:schemeClr val="bg1">
            <a:lumMod val="95000"/>
          </a:schemeClr>
        </a:solidFill>
      </c:spPr>
    </c:plotArea>
    <c:legend>
      <c:legendPos val="b"/>
      <c:overlay val="0"/>
    </c:legend>
    <c:plotVisOnly val="1"/>
    <c:dispBlanksAs val="gap"/>
    <c:showDLblsOverMax val="0"/>
  </c:chart>
  <c:txPr>
    <a:bodyPr/>
    <a:lstStyle/>
    <a:p>
      <a:pPr>
        <a:defRPr>
          <a:latin typeface="Tahoma" pitchFamily="34" charset="0"/>
          <a:ea typeface="Tahoma" pitchFamily="34" charset="0"/>
          <a:cs typeface="Tahoma"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a:pPr>
            <a:r>
              <a:rPr lang="en-US" sz="1050" b="0"/>
              <a:t>Figure 9</a:t>
            </a:r>
          </a:p>
          <a:p>
            <a:pPr>
              <a:defRPr sz="1050" b="0"/>
            </a:pPr>
            <a:r>
              <a:rPr lang="en-US" sz="1050" b="0"/>
              <a:t>Waco Monthly Employment in Professional and Business Services</a:t>
            </a:r>
          </a:p>
        </c:rich>
      </c:tx>
      <c:layout>
        <c:manualLayout>
          <c:xMode val="edge"/>
          <c:yMode val="edge"/>
          <c:x val="0.12138967644834948"/>
          <c:y val="3.6451851746379806E-2"/>
        </c:manualLayout>
      </c:layout>
      <c:overlay val="0"/>
    </c:title>
    <c:autoTitleDeleted val="0"/>
    <c:plotArea>
      <c:layout/>
      <c:barChart>
        <c:barDir val="col"/>
        <c:grouping val="clustered"/>
        <c:varyColors val="0"/>
        <c:ser>
          <c:idx val="0"/>
          <c:order val="0"/>
          <c:tx>
            <c:v>2013</c:v>
          </c:tx>
          <c:spPr>
            <a:solidFill>
              <a:srgbClr val="0070C0"/>
            </a:solidFill>
            <a:ln>
              <a:solidFill>
                <a:sysClr val="windowText" lastClr="000000"/>
              </a:solidFill>
            </a:ln>
          </c:spPr>
          <c:invertIfNegative val="0"/>
          <c:cat>
            <c:strRef>
              <c:f>'[SeriesReport-20150701144017_64a6b6.xlsx]BLS Data Series'!$B$13:$M$13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'[SeriesReport-20150701144017_64a6b6.xlsx]BLS Data Series'!$B$22:$M$22</c:f>
              <c:numCache>
                <c:formatCode>#0.0</c:formatCode>
                <c:ptCount val="12"/>
                <c:pt idx="0">
                  <c:v>9.3000000000000007</c:v>
                </c:pt>
                <c:pt idx="1">
                  <c:v>9.5</c:v>
                </c:pt>
                <c:pt idx="2">
                  <c:v>9.6</c:v>
                </c:pt>
                <c:pt idx="3">
                  <c:v>10</c:v>
                </c:pt>
                <c:pt idx="4">
                  <c:v>10.1</c:v>
                </c:pt>
                <c:pt idx="5">
                  <c:v>10.1</c:v>
                </c:pt>
                <c:pt idx="6">
                  <c:v>10.1</c:v>
                </c:pt>
                <c:pt idx="7">
                  <c:v>10.199999999999999</c:v>
                </c:pt>
                <c:pt idx="8">
                  <c:v>10.199999999999999</c:v>
                </c:pt>
                <c:pt idx="9">
                  <c:v>9.6</c:v>
                </c:pt>
                <c:pt idx="10">
                  <c:v>10.1</c:v>
                </c:pt>
                <c:pt idx="11">
                  <c:v>10.1</c:v>
                </c:pt>
              </c:numCache>
            </c:numRef>
          </c:val>
        </c:ser>
        <c:ser>
          <c:idx val="1"/>
          <c:order val="1"/>
          <c:tx>
            <c:v>2014</c:v>
          </c:tx>
          <c:spPr>
            <a:solidFill>
              <a:srgbClr val="FF0000"/>
            </a:solidFill>
            <a:ln>
              <a:solidFill>
                <a:srgbClr val="FF0000"/>
              </a:solidFill>
            </a:ln>
          </c:spPr>
          <c:invertIfNegative val="0"/>
          <c:cat>
            <c:strRef>
              <c:f>'[SeriesReport-20150701144017_64a6b6.xlsx]BLS Data Series'!$B$13:$M$13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'[SeriesReport-20150701144017_64a6b6.xlsx]BLS Data Series'!$B$23:$M$23</c:f>
              <c:numCache>
                <c:formatCode>#0.0</c:formatCode>
                <c:ptCount val="12"/>
                <c:pt idx="0">
                  <c:v>9.9</c:v>
                </c:pt>
                <c:pt idx="1">
                  <c:v>10.1</c:v>
                </c:pt>
                <c:pt idx="2">
                  <c:v>10.199999999999999</c:v>
                </c:pt>
                <c:pt idx="3">
                  <c:v>10.5</c:v>
                </c:pt>
                <c:pt idx="4">
                  <c:v>10.7</c:v>
                </c:pt>
                <c:pt idx="5">
                  <c:v>10.9</c:v>
                </c:pt>
                <c:pt idx="6">
                  <c:v>11.1</c:v>
                </c:pt>
                <c:pt idx="7">
                  <c:v>11.2</c:v>
                </c:pt>
                <c:pt idx="8">
                  <c:v>11.3</c:v>
                </c:pt>
                <c:pt idx="9">
                  <c:v>11.1</c:v>
                </c:pt>
                <c:pt idx="10">
                  <c:v>11.1</c:v>
                </c:pt>
                <c:pt idx="11">
                  <c:v>11.2</c:v>
                </c:pt>
              </c:numCache>
            </c:numRef>
          </c:val>
        </c:ser>
        <c:ser>
          <c:idx val="2"/>
          <c:order val="2"/>
          <c:tx>
            <c:v>2015</c:v>
          </c:tx>
          <c:spPr>
            <a:solidFill>
              <a:srgbClr val="00B050"/>
            </a:solidFill>
            <a:ln>
              <a:solidFill>
                <a:srgbClr val="00B050"/>
              </a:solidFill>
            </a:ln>
          </c:spPr>
          <c:invertIfNegative val="0"/>
          <c:cat>
            <c:strRef>
              <c:f>'[SeriesReport-20150701144017_64a6b6.xlsx]BLS Data Series'!$B$13:$M$13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'[SeriesReport-20150701144017_64a6b6.xlsx]BLS Data Series'!$B$24:$M$24</c:f>
              <c:numCache>
                <c:formatCode>#0.0</c:formatCode>
                <c:ptCount val="12"/>
                <c:pt idx="0">
                  <c:v>11.6</c:v>
                </c:pt>
                <c:pt idx="1">
                  <c:v>11.6</c:v>
                </c:pt>
                <c:pt idx="2">
                  <c:v>11.5</c:v>
                </c:pt>
                <c:pt idx="3">
                  <c:v>11.6</c:v>
                </c:pt>
                <c:pt idx="4">
                  <c:v>11.7</c:v>
                </c:pt>
              </c:numCache>
            </c:numRef>
          </c:val>
        </c:ser>
        <c:dLbls>
          <c:showLegendKey val="0"/>
          <c:showVal val="0"/>
          <c:showCatName val="0"/>
          <c:showSerName val="0"/>
          <c:showPercent val="0"/>
          <c:showBubbleSize val="0"/>
        </c:dLbls>
        <c:gapWidth val="150"/>
        <c:axId val="40183680"/>
        <c:axId val="40185216"/>
      </c:barChart>
      <c:catAx>
        <c:axId val="40183680"/>
        <c:scaling>
          <c:orientation val="minMax"/>
        </c:scaling>
        <c:delete val="0"/>
        <c:axPos val="b"/>
        <c:majorTickMark val="out"/>
        <c:minorTickMark val="none"/>
        <c:tickLblPos val="nextTo"/>
        <c:crossAx val="40185216"/>
        <c:crosses val="autoZero"/>
        <c:auto val="1"/>
        <c:lblAlgn val="ctr"/>
        <c:lblOffset val="100"/>
        <c:noMultiLvlLbl val="0"/>
      </c:catAx>
      <c:valAx>
        <c:axId val="40185216"/>
        <c:scaling>
          <c:orientation val="minMax"/>
        </c:scaling>
        <c:delete val="0"/>
        <c:axPos val="l"/>
        <c:majorGridlines/>
        <c:title>
          <c:tx>
            <c:rich>
              <a:bodyPr rot="0" vert="wordArtVert"/>
              <a:lstStyle/>
              <a:p>
                <a:pPr>
                  <a:defRPr b="0"/>
                </a:pPr>
                <a:r>
                  <a:rPr lang="en-US" b="0"/>
                  <a:t>Thoussands</a:t>
                </a:r>
              </a:p>
            </c:rich>
          </c:tx>
          <c:layout>
            <c:manualLayout>
              <c:xMode val="edge"/>
              <c:yMode val="edge"/>
              <c:x val="1.7830609212481426E-2"/>
              <c:y val="0.1639005540974045"/>
            </c:manualLayout>
          </c:layout>
          <c:overlay val="0"/>
        </c:title>
        <c:numFmt formatCode="#0.0" sourceLinked="1"/>
        <c:majorTickMark val="out"/>
        <c:minorTickMark val="none"/>
        <c:tickLblPos val="nextTo"/>
        <c:crossAx val="40183680"/>
        <c:crosses val="autoZero"/>
        <c:crossBetween val="between"/>
      </c:valAx>
      <c:spPr>
        <a:solidFill>
          <a:schemeClr val="bg1">
            <a:lumMod val="95000"/>
          </a:schemeClr>
        </a:solidFill>
        <a:ln>
          <a:solidFill>
            <a:schemeClr val="tx1"/>
          </a:solidFill>
        </a:ln>
      </c:spPr>
    </c:plotArea>
    <c:legend>
      <c:legendPos val="b"/>
      <c:overlay val="0"/>
    </c:legend>
    <c:plotVisOnly val="1"/>
    <c:dispBlanksAs val="gap"/>
    <c:showDLblsOverMax val="0"/>
  </c:chart>
  <c:txPr>
    <a:bodyPr/>
    <a:lstStyle/>
    <a:p>
      <a:pPr>
        <a:spcBef>
          <a:spcPts val="600"/>
        </a:spcBef>
        <a:spcAft>
          <a:spcPts val="600"/>
        </a:spcAft>
        <a:defRPr sz="1050">
          <a:latin typeface="Tahoma" pitchFamily="34" charset="0"/>
          <a:ea typeface="Tahoma" pitchFamily="34" charset="0"/>
          <a:cs typeface="Tahoma"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1D2D-84F8-44A6-8A7E-2CBFABAF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6735</Words>
  <Characters>38390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2015-09-10T16:53:00Z</cp:lastPrinted>
  <dcterms:created xsi:type="dcterms:W3CDTF">2015-09-24T15:42:00Z</dcterms:created>
  <dcterms:modified xsi:type="dcterms:W3CDTF">2015-09-24T15:42:00Z</dcterms:modified>
</cp:coreProperties>
</file>